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D4FA3" w14:textId="77777777" w:rsidR="00DB45A4" w:rsidRPr="0091549E" w:rsidRDefault="00DB45A4" w:rsidP="00C71C87">
      <w:pPr>
        <w:spacing w:line="276" w:lineRule="auto"/>
        <w:rPr>
          <w:b/>
          <w:sz w:val="24"/>
          <w:szCs w:val="24"/>
          <w:u w:val="single"/>
        </w:rPr>
      </w:pPr>
    </w:p>
    <w:p w14:paraId="2CE00F7C" w14:textId="6843684C" w:rsidR="0091549E" w:rsidRPr="00C71C87" w:rsidRDefault="0091549E" w:rsidP="00C71C87">
      <w:pPr>
        <w:spacing w:line="276" w:lineRule="auto"/>
        <w:rPr>
          <w:b/>
          <w:bCs/>
          <w:sz w:val="24"/>
          <w:szCs w:val="24"/>
        </w:rPr>
      </w:pPr>
      <w:r w:rsidRPr="0091549E">
        <w:rPr>
          <w:b/>
          <w:bCs/>
          <w:sz w:val="24"/>
          <w:szCs w:val="24"/>
          <w:u w:val="single"/>
        </w:rPr>
        <w:t>Project Title:</w:t>
      </w:r>
      <w:r w:rsidRPr="0091549E">
        <w:rPr>
          <w:b/>
          <w:bCs/>
          <w:sz w:val="24"/>
          <w:szCs w:val="24"/>
        </w:rPr>
        <w:t xml:space="preserve"> The Next Generation: Youth Recovery</w:t>
      </w:r>
      <w:r>
        <w:rPr>
          <w:b/>
          <w:bCs/>
          <w:sz w:val="24"/>
          <w:szCs w:val="24"/>
        </w:rPr>
        <w:t xml:space="preserve"> - </w:t>
      </w:r>
      <w:r w:rsidRPr="0091549E">
        <w:rPr>
          <w:sz w:val="24"/>
          <w:szCs w:val="24"/>
        </w:rPr>
        <w:t>To reverse the statistics and improve the outcomes of youth in our community through school and community-based drug and alcohol prevention, intervention</w:t>
      </w:r>
      <w:r>
        <w:rPr>
          <w:sz w:val="24"/>
          <w:szCs w:val="24"/>
        </w:rPr>
        <w:t>,</w:t>
      </w:r>
      <w:r w:rsidRPr="0091549E">
        <w:rPr>
          <w:sz w:val="24"/>
          <w:szCs w:val="24"/>
        </w:rPr>
        <w:t xml:space="preserve"> and enrichment services targeted directly to youth and their families</w:t>
      </w:r>
      <w:r>
        <w:rPr>
          <w:sz w:val="24"/>
          <w:szCs w:val="24"/>
        </w:rPr>
        <w:t>.</w:t>
      </w:r>
    </w:p>
    <w:p w14:paraId="2ABEDB5E" w14:textId="77777777" w:rsidR="0091549E" w:rsidRPr="0091549E" w:rsidRDefault="0091549E" w:rsidP="00C71C87">
      <w:pPr>
        <w:spacing w:line="276" w:lineRule="auto"/>
        <w:rPr>
          <w:b/>
          <w:bCs/>
          <w:sz w:val="24"/>
          <w:szCs w:val="24"/>
        </w:rPr>
      </w:pPr>
      <w:r w:rsidRPr="0091549E">
        <w:rPr>
          <w:b/>
          <w:bCs/>
          <w:sz w:val="24"/>
          <w:szCs w:val="24"/>
          <w:u w:val="single"/>
        </w:rPr>
        <w:t>Amount of funding request:</w:t>
      </w:r>
      <w:r w:rsidRPr="0091549E">
        <w:rPr>
          <w:b/>
          <w:bCs/>
          <w:sz w:val="24"/>
          <w:szCs w:val="24"/>
        </w:rPr>
        <w:t xml:space="preserve"> $90,000</w:t>
      </w:r>
    </w:p>
    <w:p w14:paraId="76F27E63" w14:textId="77777777" w:rsidR="0091549E" w:rsidRPr="0091549E" w:rsidRDefault="0091549E" w:rsidP="00C71C87">
      <w:pPr>
        <w:spacing w:line="276" w:lineRule="auto"/>
        <w:rPr>
          <w:b/>
          <w:bCs/>
          <w:sz w:val="24"/>
          <w:szCs w:val="24"/>
        </w:rPr>
      </w:pPr>
    </w:p>
    <w:p w14:paraId="4FE7829E" w14:textId="232937A8" w:rsidR="0091549E" w:rsidRPr="0091549E" w:rsidRDefault="0091549E" w:rsidP="00C71C87">
      <w:pPr>
        <w:spacing w:line="276" w:lineRule="auto"/>
        <w:rPr>
          <w:sz w:val="24"/>
          <w:szCs w:val="24"/>
        </w:rPr>
      </w:pPr>
      <w:r w:rsidRPr="0091549E">
        <w:rPr>
          <w:b/>
          <w:bCs/>
          <w:sz w:val="24"/>
          <w:szCs w:val="24"/>
          <w:u w:val="single"/>
        </w:rPr>
        <w:t>Brief statement of the organization’s purpose and history:</w:t>
      </w:r>
      <w:r w:rsidRPr="0091549E">
        <w:rPr>
          <w:sz w:val="24"/>
          <w:szCs w:val="24"/>
        </w:rPr>
        <w:t xml:space="preserve"> Our mission is to help teens, young adults, and families overcome the effects of drugs and alcohol, and partner with the community in education and prevention. </w:t>
      </w:r>
      <w:r w:rsidRPr="00C71C87">
        <w:rPr>
          <w:sz w:val="24"/>
          <w:szCs w:val="24"/>
        </w:rPr>
        <w:t>Rise Recovery, formally known as the Palmer Drug Abuse Program, was established in 1977</w:t>
      </w:r>
      <w:r w:rsidR="00FD3D4B">
        <w:rPr>
          <w:sz w:val="24"/>
          <w:szCs w:val="24"/>
        </w:rPr>
        <w:t xml:space="preserve"> as a ministry</w:t>
      </w:r>
      <w:r w:rsidR="00C71C87" w:rsidRPr="00C71C87">
        <w:rPr>
          <w:sz w:val="24"/>
          <w:szCs w:val="24"/>
        </w:rPr>
        <w:t xml:space="preserve"> providing</w:t>
      </w:r>
      <w:r w:rsidRPr="00C71C87">
        <w:rPr>
          <w:sz w:val="24"/>
          <w:szCs w:val="24"/>
        </w:rPr>
        <w:t xml:space="preserve"> young people with love and support, along with the skills and resources needed to support their life </w:t>
      </w:r>
      <w:r w:rsidR="00C71C87" w:rsidRPr="00C71C87">
        <w:rPr>
          <w:sz w:val="24"/>
          <w:szCs w:val="24"/>
        </w:rPr>
        <w:t xml:space="preserve">in </w:t>
      </w:r>
      <w:r w:rsidRPr="00C71C87">
        <w:rPr>
          <w:sz w:val="24"/>
          <w:szCs w:val="24"/>
        </w:rPr>
        <w:t>recovery.</w:t>
      </w:r>
      <w:r w:rsidRPr="0091549E">
        <w:rPr>
          <w:sz w:val="24"/>
          <w:szCs w:val="24"/>
        </w:rPr>
        <w:t xml:space="preserve"> Last year, Rise Recovery provided direct services to over 3,300 youth and their families across our public schools and three community based centers. </w:t>
      </w:r>
    </w:p>
    <w:p w14:paraId="7F8ABB8A" w14:textId="77777777" w:rsidR="0091549E" w:rsidRPr="0091549E" w:rsidRDefault="0091549E" w:rsidP="00C71C87">
      <w:pPr>
        <w:spacing w:line="276" w:lineRule="auto"/>
        <w:rPr>
          <w:sz w:val="24"/>
          <w:szCs w:val="24"/>
        </w:rPr>
      </w:pPr>
    </w:p>
    <w:p w14:paraId="08499CAA" w14:textId="18D35630" w:rsidR="0091549E" w:rsidRPr="0091549E" w:rsidRDefault="0091549E" w:rsidP="00C71C87">
      <w:pPr>
        <w:spacing w:line="276" w:lineRule="auto"/>
        <w:rPr>
          <w:sz w:val="24"/>
          <w:szCs w:val="24"/>
        </w:rPr>
      </w:pPr>
      <w:r w:rsidRPr="0091549E">
        <w:rPr>
          <w:b/>
          <w:bCs/>
          <w:sz w:val="24"/>
          <w:szCs w:val="24"/>
          <w:u w:val="single"/>
        </w:rPr>
        <w:t>Project description:</w:t>
      </w:r>
      <w:r w:rsidRPr="0091549E">
        <w:rPr>
          <w:sz w:val="24"/>
          <w:szCs w:val="24"/>
        </w:rPr>
        <w:t xml:space="preserve">  “Being a peer counselor is more than a job for me. I get to help kids </w:t>
      </w:r>
      <w:r w:rsidR="00C71C87">
        <w:rPr>
          <w:sz w:val="24"/>
          <w:szCs w:val="24"/>
        </w:rPr>
        <w:t xml:space="preserve">in </w:t>
      </w:r>
      <w:r w:rsidRPr="0091549E">
        <w:rPr>
          <w:sz w:val="24"/>
          <w:szCs w:val="24"/>
        </w:rPr>
        <w:t>recovery from the same affliction that plagued my young adult life. I get to come into work every day and spread a message of hope to those who need it most. Neither I, nor my coworkers have to lie or embellish upon our message. RECOVERY IS POSSIBLE.” – Josh Green, Peer Counselor</w:t>
      </w:r>
    </w:p>
    <w:p w14:paraId="0B0BDF3B" w14:textId="77777777" w:rsidR="0091549E" w:rsidRPr="0091549E" w:rsidRDefault="0091549E" w:rsidP="00C71C87">
      <w:pPr>
        <w:spacing w:line="276" w:lineRule="auto"/>
        <w:rPr>
          <w:sz w:val="24"/>
          <w:szCs w:val="24"/>
        </w:rPr>
      </w:pPr>
    </w:p>
    <w:p w14:paraId="617F9A1F" w14:textId="2CA502E0" w:rsidR="0091549E" w:rsidRPr="0091549E" w:rsidRDefault="0091549E" w:rsidP="00C71C87">
      <w:pPr>
        <w:spacing w:line="276" w:lineRule="auto"/>
        <w:rPr>
          <w:sz w:val="24"/>
          <w:szCs w:val="24"/>
        </w:rPr>
      </w:pPr>
      <w:r w:rsidRPr="0091549E">
        <w:rPr>
          <w:sz w:val="24"/>
          <w:szCs w:val="24"/>
        </w:rPr>
        <w:t>Josh, an outstanding citizen, college student and young leader today, took a dark road into dru</w:t>
      </w:r>
      <w:r w:rsidR="00FD3D4B">
        <w:rPr>
          <w:sz w:val="24"/>
          <w:szCs w:val="24"/>
        </w:rPr>
        <w:t xml:space="preserve">gs and alcohol. He is not </w:t>
      </w:r>
      <w:proofErr w:type="gramStart"/>
      <w:r w:rsidR="00FD3D4B">
        <w:rPr>
          <w:sz w:val="24"/>
          <w:szCs w:val="24"/>
        </w:rPr>
        <w:t>alone,</w:t>
      </w:r>
      <w:proofErr w:type="gramEnd"/>
      <w:r w:rsidR="00FD3D4B">
        <w:rPr>
          <w:sz w:val="24"/>
          <w:szCs w:val="24"/>
        </w:rPr>
        <w:t xml:space="preserve"> youth development is defined by marked increases and </w:t>
      </w:r>
      <w:r w:rsidR="006975E6">
        <w:rPr>
          <w:sz w:val="24"/>
          <w:szCs w:val="24"/>
        </w:rPr>
        <w:t>experimentation. For instance, a</w:t>
      </w:r>
      <w:r w:rsidRPr="0091549E">
        <w:rPr>
          <w:sz w:val="24"/>
          <w:szCs w:val="24"/>
        </w:rPr>
        <w:t xml:space="preserve">lcohol use increases 81% from age 15 to age 18 (National Institute on Alcohol Abuse and Alcoholism). Seeking independence, youth lean into their peers and less </w:t>
      </w:r>
      <w:r w:rsidR="00FD3D4B">
        <w:rPr>
          <w:sz w:val="24"/>
          <w:szCs w:val="24"/>
        </w:rPr>
        <w:t xml:space="preserve">on authority for their guidance, taking risks while </w:t>
      </w:r>
      <w:r w:rsidRPr="0091549E">
        <w:rPr>
          <w:sz w:val="24"/>
          <w:szCs w:val="24"/>
        </w:rPr>
        <w:t>unaware of each unique person’s capacity to become dependent on alcohol or drugs.</w:t>
      </w:r>
    </w:p>
    <w:p w14:paraId="7748803C" w14:textId="77777777" w:rsidR="0091549E" w:rsidRPr="0091549E" w:rsidRDefault="0091549E" w:rsidP="00C71C87">
      <w:pPr>
        <w:spacing w:line="276" w:lineRule="auto"/>
        <w:rPr>
          <w:sz w:val="24"/>
          <w:szCs w:val="24"/>
        </w:rPr>
      </w:pPr>
    </w:p>
    <w:p w14:paraId="336C69FF" w14:textId="10B70F69" w:rsidR="0091549E" w:rsidRPr="0091549E" w:rsidRDefault="0091549E" w:rsidP="00C71C87">
      <w:pPr>
        <w:spacing w:line="276" w:lineRule="auto"/>
        <w:rPr>
          <w:sz w:val="24"/>
          <w:szCs w:val="24"/>
        </w:rPr>
      </w:pPr>
      <w:r w:rsidRPr="0091549E">
        <w:rPr>
          <w:sz w:val="24"/>
          <w:szCs w:val="24"/>
        </w:rPr>
        <w:t>Evidence shows that successful youth substance prevention and recovery programs are modeled in the same way</w:t>
      </w:r>
      <w:r w:rsidR="00FD3D4B">
        <w:rPr>
          <w:sz w:val="24"/>
          <w:szCs w:val="24"/>
        </w:rPr>
        <w:t>:</w:t>
      </w:r>
      <w:r w:rsidRPr="0091549E">
        <w:rPr>
          <w:sz w:val="24"/>
          <w:szCs w:val="24"/>
        </w:rPr>
        <w:t xml:space="preserve"> </w:t>
      </w:r>
      <w:r w:rsidR="00FD3D4B">
        <w:rPr>
          <w:sz w:val="24"/>
          <w:szCs w:val="24"/>
        </w:rPr>
        <w:t>peer-to</w:t>
      </w:r>
      <w:r w:rsidRPr="0091549E">
        <w:rPr>
          <w:sz w:val="24"/>
          <w:szCs w:val="24"/>
        </w:rPr>
        <w:t xml:space="preserve"> </w:t>
      </w:r>
      <w:r w:rsidR="00FD3D4B">
        <w:rPr>
          <w:sz w:val="24"/>
          <w:szCs w:val="24"/>
        </w:rPr>
        <w:t>-</w:t>
      </w:r>
      <w:r w:rsidRPr="0091549E">
        <w:rPr>
          <w:sz w:val="24"/>
          <w:szCs w:val="24"/>
        </w:rPr>
        <w:t xml:space="preserve">peer. By engaging youth with other youth in recovery and staffed recovery coaches who have experienced the negative impacts of addiction, youth become open to adopting the new social skills, peer influences, education and social support offered by Rise Recovery. </w:t>
      </w:r>
      <w:r w:rsidRPr="00FD3D4B">
        <w:rPr>
          <w:sz w:val="24"/>
          <w:szCs w:val="24"/>
        </w:rPr>
        <w:t xml:space="preserve">Rise Recovery </w:t>
      </w:r>
      <w:r w:rsidR="00FD3D4B" w:rsidRPr="00FD3D4B">
        <w:rPr>
          <w:sz w:val="24"/>
          <w:szCs w:val="24"/>
        </w:rPr>
        <w:t>addresses</w:t>
      </w:r>
      <w:r w:rsidRPr="00FD3D4B">
        <w:rPr>
          <w:sz w:val="24"/>
          <w:szCs w:val="24"/>
        </w:rPr>
        <w:t xml:space="preserve"> parents with equal emphasis to focus on what helps or hinders their young one’s recovery. </w:t>
      </w:r>
    </w:p>
    <w:p w14:paraId="612B1A33" w14:textId="77777777" w:rsidR="0091549E" w:rsidRPr="0091549E" w:rsidRDefault="0091549E" w:rsidP="00C71C87">
      <w:pPr>
        <w:spacing w:line="276" w:lineRule="auto"/>
        <w:rPr>
          <w:sz w:val="24"/>
          <w:szCs w:val="24"/>
        </w:rPr>
      </w:pPr>
    </w:p>
    <w:p w14:paraId="4D990A11" w14:textId="1C9A2A21" w:rsidR="0091549E" w:rsidRPr="0091549E" w:rsidRDefault="0091549E" w:rsidP="00C71C87">
      <w:pPr>
        <w:spacing w:line="276" w:lineRule="auto"/>
        <w:rPr>
          <w:sz w:val="24"/>
          <w:szCs w:val="24"/>
        </w:rPr>
      </w:pPr>
      <w:proofErr w:type="gramStart"/>
      <w:r w:rsidRPr="00FD3D4B">
        <w:rPr>
          <w:sz w:val="24"/>
          <w:szCs w:val="24"/>
        </w:rPr>
        <w:t>An estimated eight million American children</w:t>
      </w:r>
      <w:r w:rsidR="00FD3D4B" w:rsidRPr="00FD3D4B">
        <w:rPr>
          <w:sz w:val="24"/>
          <w:szCs w:val="24"/>
        </w:rPr>
        <w:t xml:space="preserve"> (1 in 10)</w:t>
      </w:r>
      <w:r w:rsidRPr="00FD3D4B">
        <w:rPr>
          <w:sz w:val="24"/>
          <w:szCs w:val="24"/>
        </w:rPr>
        <w:t>, live with at least one substance</w:t>
      </w:r>
      <w:r w:rsidR="00FD3D4B">
        <w:rPr>
          <w:sz w:val="24"/>
          <w:szCs w:val="24"/>
        </w:rPr>
        <w:t xml:space="preserve"> abusing adult</w:t>
      </w:r>
      <w:r w:rsidRPr="00FD3D4B">
        <w:rPr>
          <w:sz w:val="24"/>
          <w:szCs w:val="24"/>
        </w:rPr>
        <w:t xml:space="preserve"> </w:t>
      </w:r>
      <w:r w:rsidR="00FD3D4B" w:rsidRPr="00FD3D4B">
        <w:rPr>
          <w:sz w:val="24"/>
          <w:szCs w:val="24"/>
        </w:rPr>
        <w:t>(USDHHS)</w:t>
      </w:r>
      <w:r w:rsidR="00FD3D4B">
        <w:rPr>
          <w:sz w:val="24"/>
          <w:szCs w:val="24"/>
        </w:rPr>
        <w:t>.</w:t>
      </w:r>
      <w:proofErr w:type="gramEnd"/>
      <w:r w:rsidR="00FD3D4B" w:rsidRPr="00FD3D4B">
        <w:rPr>
          <w:sz w:val="24"/>
          <w:szCs w:val="24"/>
        </w:rPr>
        <w:t xml:space="preserve"> </w:t>
      </w:r>
      <w:r w:rsidRPr="00C22F99">
        <w:rPr>
          <w:sz w:val="24"/>
          <w:szCs w:val="24"/>
        </w:rPr>
        <w:t>This significantly influences the likeliness that this child</w:t>
      </w:r>
      <w:r w:rsidR="00C22F99" w:rsidRPr="00C22F99">
        <w:rPr>
          <w:sz w:val="24"/>
          <w:szCs w:val="24"/>
        </w:rPr>
        <w:t xml:space="preserve"> will develop a substance use problem</w:t>
      </w:r>
      <w:r w:rsidRPr="00C22F99">
        <w:rPr>
          <w:sz w:val="24"/>
          <w:szCs w:val="24"/>
        </w:rPr>
        <w:t xml:space="preserve"> (SAMHSA). </w:t>
      </w:r>
      <w:r w:rsidR="00C22F99">
        <w:rPr>
          <w:sz w:val="24"/>
          <w:szCs w:val="24"/>
        </w:rPr>
        <w:t>We</w:t>
      </w:r>
      <w:r w:rsidRPr="00C71C87">
        <w:rPr>
          <w:sz w:val="24"/>
          <w:szCs w:val="24"/>
        </w:rPr>
        <w:t xml:space="preserve"> address prevention efforts in the most strategic way possible, offering </w:t>
      </w:r>
      <w:r w:rsidR="00C22F99">
        <w:rPr>
          <w:sz w:val="24"/>
          <w:szCs w:val="24"/>
        </w:rPr>
        <w:t>support</w:t>
      </w:r>
      <w:r w:rsidRPr="00C71C87">
        <w:rPr>
          <w:sz w:val="24"/>
          <w:szCs w:val="24"/>
        </w:rPr>
        <w:t xml:space="preserve"> for those “near-risk” brothers and sisters, sons and daughters of a loved one who is using.</w:t>
      </w:r>
      <w:r w:rsidR="00C22F99">
        <w:rPr>
          <w:sz w:val="24"/>
          <w:szCs w:val="24"/>
        </w:rPr>
        <w:t xml:space="preserve"> W</w:t>
      </w:r>
      <w:r w:rsidRPr="0091549E">
        <w:rPr>
          <w:sz w:val="24"/>
          <w:szCs w:val="24"/>
        </w:rPr>
        <w:t xml:space="preserve">e teach them how to effectively respond to their perception of drugs, their family and their futures. </w:t>
      </w:r>
    </w:p>
    <w:p w14:paraId="03240B77" w14:textId="77777777" w:rsidR="0091549E" w:rsidRPr="0091549E" w:rsidRDefault="0091549E" w:rsidP="00FD3D4B">
      <w:pPr>
        <w:spacing w:line="276" w:lineRule="auto"/>
        <w:rPr>
          <w:sz w:val="24"/>
          <w:szCs w:val="24"/>
        </w:rPr>
      </w:pPr>
    </w:p>
    <w:p w14:paraId="18D88D2E" w14:textId="2F849988" w:rsidR="0091549E" w:rsidRPr="0091549E" w:rsidRDefault="00F95999" w:rsidP="00FD3D4B">
      <w:pPr>
        <w:spacing w:line="276" w:lineRule="auto"/>
        <w:rPr>
          <w:sz w:val="24"/>
          <w:szCs w:val="24"/>
        </w:rPr>
      </w:pPr>
      <w:r>
        <w:rPr>
          <w:sz w:val="24"/>
          <w:szCs w:val="24"/>
        </w:rPr>
        <w:t>We</w:t>
      </w:r>
      <w:r w:rsidR="0091549E" w:rsidRPr="0091549E">
        <w:rPr>
          <w:sz w:val="24"/>
          <w:szCs w:val="24"/>
        </w:rPr>
        <w:t xml:space="preserve"> </w:t>
      </w:r>
      <w:r>
        <w:rPr>
          <w:sz w:val="24"/>
          <w:szCs w:val="24"/>
        </w:rPr>
        <w:t>engage</w:t>
      </w:r>
      <w:r w:rsidR="0091549E" w:rsidRPr="0091549E">
        <w:rPr>
          <w:sz w:val="24"/>
          <w:szCs w:val="24"/>
        </w:rPr>
        <w:t xml:space="preserve"> the entire family system</w:t>
      </w:r>
      <w:r>
        <w:rPr>
          <w:sz w:val="24"/>
          <w:szCs w:val="24"/>
        </w:rPr>
        <w:t xml:space="preserve"> </w:t>
      </w:r>
      <w:r w:rsidR="0091549E" w:rsidRPr="0091549E">
        <w:rPr>
          <w:sz w:val="24"/>
          <w:szCs w:val="24"/>
        </w:rPr>
        <w:t xml:space="preserve">by providing </w:t>
      </w:r>
      <w:r>
        <w:rPr>
          <w:sz w:val="24"/>
          <w:szCs w:val="24"/>
        </w:rPr>
        <w:t>ongoing and open-ended</w:t>
      </w:r>
      <w:r w:rsidR="0091549E" w:rsidRPr="0091549E">
        <w:rPr>
          <w:sz w:val="24"/>
          <w:szCs w:val="24"/>
        </w:rPr>
        <w:t xml:space="preserve"> services </w:t>
      </w:r>
      <w:r w:rsidR="0091549E" w:rsidRPr="0091549E">
        <w:rPr>
          <w:b/>
          <w:bCs/>
          <w:sz w:val="24"/>
          <w:szCs w:val="24"/>
        </w:rPr>
        <w:t>at no fee to the families</w:t>
      </w:r>
      <w:r w:rsidR="0091549E" w:rsidRPr="0091549E">
        <w:rPr>
          <w:sz w:val="24"/>
          <w:szCs w:val="24"/>
        </w:rPr>
        <w:t xml:space="preserve"> who are already struggling with the financial burden of the legal, health and treatment expenses associated with this </w:t>
      </w:r>
      <w:r w:rsidR="00C22F99">
        <w:rPr>
          <w:sz w:val="24"/>
          <w:szCs w:val="24"/>
        </w:rPr>
        <w:t>disorder</w:t>
      </w:r>
      <w:r>
        <w:rPr>
          <w:sz w:val="24"/>
          <w:szCs w:val="24"/>
        </w:rPr>
        <w:t xml:space="preserve">. </w:t>
      </w:r>
      <w:bookmarkStart w:id="0" w:name="_GoBack"/>
      <w:r w:rsidR="0091549E" w:rsidRPr="0091549E">
        <w:rPr>
          <w:sz w:val="24"/>
          <w:szCs w:val="24"/>
        </w:rPr>
        <w:t>Rise Recovery’s program is truly accessible to all those in need</w:t>
      </w:r>
      <w:bookmarkEnd w:id="0"/>
      <w:r>
        <w:rPr>
          <w:sz w:val="24"/>
          <w:szCs w:val="24"/>
        </w:rPr>
        <w:t xml:space="preserve">. </w:t>
      </w:r>
      <w:r w:rsidR="0091549E" w:rsidRPr="0091549E">
        <w:rPr>
          <w:sz w:val="24"/>
          <w:szCs w:val="24"/>
        </w:rPr>
        <w:t xml:space="preserve">With your support, our program </w:t>
      </w:r>
      <w:r w:rsidR="00FD3D4B">
        <w:rPr>
          <w:sz w:val="24"/>
          <w:szCs w:val="24"/>
        </w:rPr>
        <w:t>will help</w:t>
      </w:r>
      <w:r w:rsidR="0091549E" w:rsidRPr="0091549E">
        <w:rPr>
          <w:sz w:val="24"/>
          <w:szCs w:val="24"/>
        </w:rPr>
        <w:t xml:space="preserve"> </w:t>
      </w:r>
      <w:r w:rsidR="00FD3D4B">
        <w:rPr>
          <w:sz w:val="24"/>
          <w:szCs w:val="24"/>
        </w:rPr>
        <w:t>our community</w:t>
      </w:r>
      <w:r w:rsidR="0091549E" w:rsidRPr="0091549E">
        <w:rPr>
          <w:sz w:val="24"/>
          <w:szCs w:val="24"/>
        </w:rPr>
        <w:t xml:space="preserve"> break the cycle of youth substance use str</w:t>
      </w:r>
      <w:r w:rsidR="00FD3D4B">
        <w:rPr>
          <w:sz w:val="24"/>
          <w:szCs w:val="24"/>
        </w:rPr>
        <w:t xml:space="preserve">ategically and compassionately, </w:t>
      </w:r>
      <w:r w:rsidR="0091549E" w:rsidRPr="0091549E">
        <w:rPr>
          <w:sz w:val="24"/>
          <w:szCs w:val="24"/>
        </w:rPr>
        <w:t xml:space="preserve">one family at a time. </w:t>
      </w:r>
    </w:p>
    <w:p w14:paraId="32E5DD38" w14:textId="77777777" w:rsidR="009A6B47" w:rsidRPr="0091549E" w:rsidRDefault="009A6B47" w:rsidP="00C71C87">
      <w:pPr>
        <w:spacing w:line="276" w:lineRule="auto"/>
        <w:rPr>
          <w:b/>
          <w:sz w:val="24"/>
          <w:szCs w:val="24"/>
          <w:u w:val="single"/>
        </w:rPr>
      </w:pPr>
    </w:p>
    <w:p w14:paraId="30AEB3C6" w14:textId="77777777" w:rsidR="009E099E" w:rsidRPr="0091549E" w:rsidRDefault="009A6B47" w:rsidP="00C71C87">
      <w:pPr>
        <w:spacing w:line="276" w:lineRule="auto"/>
        <w:rPr>
          <w:sz w:val="24"/>
          <w:szCs w:val="24"/>
        </w:rPr>
      </w:pPr>
      <w:r w:rsidRPr="0091549E">
        <w:rPr>
          <w:b/>
          <w:sz w:val="24"/>
          <w:szCs w:val="24"/>
          <w:u w:val="single"/>
        </w:rPr>
        <w:t>Brief statement of any previous funding</w:t>
      </w:r>
      <w:r w:rsidR="00844668" w:rsidRPr="0091549E">
        <w:rPr>
          <w:b/>
          <w:sz w:val="24"/>
          <w:szCs w:val="24"/>
          <w:u w:val="single"/>
        </w:rPr>
        <w:t xml:space="preserve"> received from t</w:t>
      </w:r>
      <w:r w:rsidRPr="0091549E">
        <w:rPr>
          <w:b/>
          <w:sz w:val="24"/>
          <w:szCs w:val="24"/>
          <w:u w:val="single"/>
        </w:rPr>
        <w:t xml:space="preserve">he Harvey E. </w:t>
      </w:r>
      <w:proofErr w:type="spellStart"/>
      <w:r w:rsidRPr="0091549E">
        <w:rPr>
          <w:b/>
          <w:sz w:val="24"/>
          <w:szCs w:val="24"/>
          <w:u w:val="single"/>
        </w:rPr>
        <w:t>Najim</w:t>
      </w:r>
      <w:proofErr w:type="spellEnd"/>
      <w:r w:rsidRPr="0091549E">
        <w:rPr>
          <w:b/>
          <w:sz w:val="24"/>
          <w:szCs w:val="24"/>
          <w:u w:val="single"/>
        </w:rPr>
        <w:t xml:space="preserve"> Family Foundation:</w:t>
      </w:r>
      <w:r w:rsidRPr="0091549E">
        <w:rPr>
          <w:sz w:val="24"/>
          <w:szCs w:val="24"/>
        </w:rPr>
        <w:t xml:space="preserve"> </w:t>
      </w:r>
      <w:r w:rsidR="001E5E33" w:rsidRPr="0091549E">
        <w:rPr>
          <w:sz w:val="24"/>
          <w:szCs w:val="24"/>
        </w:rPr>
        <w:t xml:space="preserve">Previous funding by the Foundation includes: </w:t>
      </w:r>
    </w:p>
    <w:p w14:paraId="03EBF46E" w14:textId="77777777" w:rsidR="009E099E" w:rsidRPr="0091549E" w:rsidRDefault="001E5E33" w:rsidP="00C71C87">
      <w:pPr>
        <w:spacing w:line="276" w:lineRule="auto"/>
        <w:rPr>
          <w:sz w:val="24"/>
          <w:szCs w:val="24"/>
        </w:rPr>
      </w:pPr>
      <w:r w:rsidRPr="0091549E">
        <w:rPr>
          <w:b/>
          <w:sz w:val="24"/>
          <w:szCs w:val="24"/>
        </w:rPr>
        <w:t>2007 ($50,000)</w:t>
      </w:r>
      <w:r w:rsidRPr="0091549E">
        <w:rPr>
          <w:sz w:val="24"/>
          <w:szCs w:val="24"/>
        </w:rPr>
        <w:t xml:space="preserve"> – infrastructure improvem</w:t>
      </w:r>
      <w:r w:rsidR="009E099E" w:rsidRPr="0091549E">
        <w:rPr>
          <w:sz w:val="24"/>
          <w:szCs w:val="24"/>
        </w:rPr>
        <w:t>ent through improved technology</w:t>
      </w:r>
      <w:r w:rsidRPr="0091549E">
        <w:rPr>
          <w:sz w:val="24"/>
          <w:szCs w:val="24"/>
        </w:rPr>
        <w:t xml:space="preserve"> </w:t>
      </w:r>
    </w:p>
    <w:p w14:paraId="06BD2B56" w14:textId="74922138" w:rsidR="009E099E" w:rsidRPr="0091549E" w:rsidRDefault="001E5E33" w:rsidP="00C71C87">
      <w:pPr>
        <w:spacing w:line="276" w:lineRule="auto"/>
        <w:rPr>
          <w:sz w:val="24"/>
          <w:szCs w:val="24"/>
        </w:rPr>
      </w:pPr>
      <w:r w:rsidRPr="0091549E">
        <w:rPr>
          <w:b/>
          <w:sz w:val="24"/>
          <w:szCs w:val="24"/>
        </w:rPr>
        <w:t>2008 ($44,500)</w:t>
      </w:r>
      <w:r w:rsidRPr="0091549E">
        <w:rPr>
          <w:sz w:val="24"/>
          <w:szCs w:val="24"/>
        </w:rPr>
        <w:t xml:space="preserve"> – sent high-risk and at-risk youth to Extreme Youth Leadership &amp; Action Ca</w:t>
      </w:r>
      <w:r w:rsidR="009E099E" w:rsidRPr="0091549E">
        <w:rPr>
          <w:sz w:val="24"/>
          <w:szCs w:val="24"/>
        </w:rPr>
        <w:t>mp</w:t>
      </w:r>
      <w:r w:rsidRPr="0091549E">
        <w:rPr>
          <w:sz w:val="24"/>
          <w:szCs w:val="24"/>
        </w:rPr>
        <w:t xml:space="preserve"> </w:t>
      </w:r>
      <w:r w:rsidRPr="0091549E">
        <w:rPr>
          <w:b/>
          <w:sz w:val="24"/>
          <w:szCs w:val="24"/>
        </w:rPr>
        <w:t>2010 ($35,000)</w:t>
      </w:r>
      <w:r w:rsidRPr="0091549E">
        <w:rPr>
          <w:sz w:val="24"/>
          <w:szCs w:val="24"/>
        </w:rPr>
        <w:t xml:space="preserve"> – support recovery and prevention services to </w:t>
      </w:r>
      <w:r w:rsidR="009E099E" w:rsidRPr="0091549E">
        <w:rPr>
          <w:sz w:val="24"/>
          <w:szCs w:val="24"/>
        </w:rPr>
        <w:t>local youth aged 17 and younger</w:t>
      </w:r>
      <w:r w:rsidRPr="0091549E">
        <w:rPr>
          <w:sz w:val="24"/>
          <w:szCs w:val="24"/>
        </w:rPr>
        <w:t xml:space="preserve"> </w:t>
      </w:r>
      <w:r w:rsidRPr="0091549E">
        <w:rPr>
          <w:b/>
          <w:sz w:val="24"/>
          <w:szCs w:val="24"/>
        </w:rPr>
        <w:t>2011 ($20,000</w:t>
      </w:r>
      <w:r w:rsidR="00F841EC" w:rsidRPr="0091549E">
        <w:rPr>
          <w:b/>
          <w:sz w:val="24"/>
          <w:szCs w:val="24"/>
        </w:rPr>
        <w:t>)</w:t>
      </w:r>
      <w:r w:rsidR="00F841EC" w:rsidRPr="0091549E">
        <w:rPr>
          <w:sz w:val="24"/>
          <w:szCs w:val="24"/>
        </w:rPr>
        <w:t xml:space="preserve"> – support couns</w:t>
      </w:r>
      <w:r w:rsidR="009E099E" w:rsidRPr="0091549E">
        <w:rPr>
          <w:sz w:val="24"/>
          <w:szCs w:val="24"/>
        </w:rPr>
        <w:t>eling services for PDAP members</w:t>
      </w:r>
      <w:r w:rsidR="00F841EC" w:rsidRPr="0091549E">
        <w:rPr>
          <w:sz w:val="24"/>
          <w:szCs w:val="24"/>
        </w:rPr>
        <w:t xml:space="preserve"> </w:t>
      </w:r>
    </w:p>
    <w:p w14:paraId="76E3E90E" w14:textId="77777777" w:rsidR="009E099E" w:rsidRPr="0091549E" w:rsidRDefault="00F841EC" w:rsidP="00C71C87">
      <w:pPr>
        <w:spacing w:line="276" w:lineRule="auto"/>
        <w:rPr>
          <w:sz w:val="24"/>
          <w:szCs w:val="24"/>
        </w:rPr>
      </w:pPr>
      <w:r w:rsidRPr="0091549E">
        <w:rPr>
          <w:b/>
          <w:sz w:val="24"/>
          <w:szCs w:val="24"/>
        </w:rPr>
        <w:t>2012 ($20,000)</w:t>
      </w:r>
      <w:r w:rsidRPr="0091549E">
        <w:rPr>
          <w:sz w:val="24"/>
          <w:szCs w:val="24"/>
        </w:rPr>
        <w:t xml:space="preserve"> – support direct recovery a</w:t>
      </w:r>
      <w:r w:rsidR="009E099E" w:rsidRPr="0091549E">
        <w:rPr>
          <w:sz w:val="24"/>
          <w:szCs w:val="24"/>
        </w:rPr>
        <w:t>nd prevention services to youth</w:t>
      </w:r>
      <w:r w:rsidRPr="0091549E">
        <w:rPr>
          <w:sz w:val="24"/>
          <w:szCs w:val="24"/>
        </w:rPr>
        <w:t xml:space="preserve"> </w:t>
      </w:r>
    </w:p>
    <w:p w14:paraId="707746E3" w14:textId="77777777" w:rsidR="009E099E" w:rsidRPr="0091549E" w:rsidRDefault="00F841EC" w:rsidP="00C71C87">
      <w:pPr>
        <w:spacing w:line="276" w:lineRule="auto"/>
        <w:rPr>
          <w:sz w:val="24"/>
          <w:szCs w:val="24"/>
        </w:rPr>
      </w:pPr>
      <w:r w:rsidRPr="0091549E">
        <w:rPr>
          <w:b/>
          <w:sz w:val="24"/>
          <w:szCs w:val="24"/>
        </w:rPr>
        <w:t>2013 ($25,000)</w:t>
      </w:r>
      <w:r w:rsidRPr="0091549E">
        <w:rPr>
          <w:sz w:val="24"/>
          <w:szCs w:val="24"/>
        </w:rPr>
        <w:t xml:space="preserve"> – support direct recovery a</w:t>
      </w:r>
      <w:r w:rsidR="009E099E" w:rsidRPr="0091549E">
        <w:rPr>
          <w:sz w:val="24"/>
          <w:szCs w:val="24"/>
        </w:rPr>
        <w:t>nd prevention services to youth</w:t>
      </w:r>
      <w:r w:rsidRPr="0091549E">
        <w:rPr>
          <w:sz w:val="24"/>
          <w:szCs w:val="24"/>
        </w:rPr>
        <w:t xml:space="preserve"> </w:t>
      </w:r>
    </w:p>
    <w:p w14:paraId="18AA1427" w14:textId="77777777" w:rsidR="009E099E" w:rsidRPr="0091549E" w:rsidRDefault="00F841EC" w:rsidP="00C71C87">
      <w:pPr>
        <w:spacing w:line="276" w:lineRule="auto"/>
        <w:rPr>
          <w:sz w:val="24"/>
          <w:szCs w:val="24"/>
        </w:rPr>
      </w:pPr>
      <w:r w:rsidRPr="0091549E">
        <w:rPr>
          <w:b/>
          <w:sz w:val="24"/>
          <w:szCs w:val="24"/>
        </w:rPr>
        <w:t>2014 ($20,000)</w:t>
      </w:r>
      <w:r w:rsidRPr="0091549E">
        <w:rPr>
          <w:sz w:val="24"/>
          <w:szCs w:val="24"/>
        </w:rPr>
        <w:t xml:space="preserve"> – support our technology improvement project </w:t>
      </w:r>
    </w:p>
    <w:p w14:paraId="4EF9E273" w14:textId="5DF70DE0" w:rsidR="009E099E" w:rsidRPr="0091549E" w:rsidRDefault="00F841EC" w:rsidP="00C71C87">
      <w:pPr>
        <w:spacing w:line="276" w:lineRule="auto"/>
        <w:rPr>
          <w:sz w:val="24"/>
          <w:szCs w:val="24"/>
        </w:rPr>
      </w:pPr>
      <w:r w:rsidRPr="0091549E">
        <w:rPr>
          <w:b/>
          <w:sz w:val="24"/>
          <w:szCs w:val="24"/>
        </w:rPr>
        <w:t>2015 ($25,000)</w:t>
      </w:r>
      <w:r w:rsidRPr="0091549E">
        <w:rPr>
          <w:sz w:val="24"/>
          <w:szCs w:val="24"/>
        </w:rPr>
        <w:t xml:space="preserve"> – support direct rec</w:t>
      </w:r>
      <w:r w:rsidR="00C71C87">
        <w:rPr>
          <w:sz w:val="24"/>
          <w:szCs w:val="24"/>
        </w:rPr>
        <w:t>overy, intervention, prevention,</w:t>
      </w:r>
      <w:r w:rsidRPr="0091549E">
        <w:rPr>
          <w:sz w:val="24"/>
          <w:szCs w:val="24"/>
        </w:rPr>
        <w:t xml:space="preserve"> educ</w:t>
      </w:r>
      <w:r w:rsidR="00C71C87">
        <w:rPr>
          <w:sz w:val="24"/>
          <w:szCs w:val="24"/>
        </w:rPr>
        <w:t>ation services</w:t>
      </w:r>
      <w:r w:rsidR="009E099E" w:rsidRPr="0091549E">
        <w:rPr>
          <w:sz w:val="24"/>
          <w:szCs w:val="24"/>
        </w:rPr>
        <w:t xml:space="preserve"> </w:t>
      </w:r>
      <w:r w:rsidR="00C71C87">
        <w:rPr>
          <w:sz w:val="24"/>
          <w:szCs w:val="24"/>
        </w:rPr>
        <w:t xml:space="preserve">to </w:t>
      </w:r>
      <w:r w:rsidR="009E099E" w:rsidRPr="0091549E">
        <w:rPr>
          <w:sz w:val="24"/>
          <w:szCs w:val="24"/>
        </w:rPr>
        <w:t>youth</w:t>
      </w:r>
    </w:p>
    <w:p w14:paraId="08D7CB17" w14:textId="14597B20" w:rsidR="009E099E" w:rsidRPr="0091549E" w:rsidRDefault="009E099E" w:rsidP="00C71C87">
      <w:pPr>
        <w:spacing w:line="276" w:lineRule="auto"/>
        <w:rPr>
          <w:sz w:val="24"/>
          <w:szCs w:val="24"/>
        </w:rPr>
      </w:pPr>
      <w:r w:rsidRPr="0091549E">
        <w:rPr>
          <w:b/>
          <w:sz w:val="24"/>
          <w:szCs w:val="24"/>
        </w:rPr>
        <w:t>2016 ($35,000)</w:t>
      </w:r>
      <w:r w:rsidRPr="0091549E">
        <w:rPr>
          <w:sz w:val="24"/>
          <w:szCs w:val="24"/>
        </w:rPr>
        <w:t xml:space="preserve"> – </w:t>
      </w:r>
      <w:r w:rsidR="00C71C87" w:rsidRPr="0091549E">
        <w:rPr>
          <w:sz w:val="24"/>
          <w:szCs w:val="24"/>
        </w:rPr>
        <w:t>support direct rec</w:t>
      </w:r>
      <w:r w:rsidR="00C71C87">
        <w:rPr>
          <w:sz w:val="24"/>
          <w:szCs w:val="24"/>
        </w:rPr>
        <w:t>overy, intervention, prevention,</w:t>
      </w:r>
      <w:r w:rsidR="00C71C87" w:rsidRPr="0091549E">
        <w:rPr>
          <w:sz w:val="24"/>
          <w:szCs w:val="24"/>
        </w:rPr>
        <w:t xml:space="preserve"> educ</w:t>
      </w:r>
      <w:r w:rsidR="00C71C87">
        <w:rPr>
          <w:sz w:val="24"/>
          <w:szCs w:val="24"/>
        </w:rPr>
        <w:t>ation services</w:t>
      </w:r>
      <w:r w:rsidR="00C71C87" w:rsidRPr="0091549E">
        <w:rPr>
          <w:sz w:val="24"/>
          <w:szCs w:val="24"/>
        </w:rPr>
        <w:t xml:space="preserve"> </w:t>
      </w:r>
      <w:r w:rsidR="00C71C87">
        <w:rPr>
          <w:sz w:val="24"/>
          <w:szCs w:val="24"/>
        </w:rPr>
        <w:t xml:space="preserve">to </w:t>
      </w:r>
      <w:r w:rsidR="00C71C87" w:rsidRPr="0091549E">
        <w:rPr>
          <w:sz w:val="24"/>
          <w:szCs w:val="24"/>
        </w:rPr>
        <w:t>youth</w:t>
      </w:r>
    </w:p>
    <w:p w14:paraId="22BA94C1" w14:textId="38BB4479" w:rsidR="009A6B47" w:rsidRPr="0091549E" w:rsidRDefault="00F841EC" w:rsidP="00C71C87">
      <w:pPr>
        <w:spacing w:line="276" w:lineRule="auto"/>
        <w:rPr>
          <w:sz w:val="24"/>
          <w:szCs w:val="24"/>
        </w:rPr>
      </w:pPr>
      <w:r w:rsidRPr="0091549E">
        <w:rPr>
          <w:sz w:val="24"/>
          <w:szCs w:val="24"/>
        </w:rPr>
        <w:t xml:space="preserve"> </w:t>
      </w:r>
    </w:p>
    <w:p w14:paraId="1331BE91" w14:textId="7E997E91" w:rsidR="00C71C87" w:rsidRDefault="009A6B47" w:rsidP="00C71C87">
      <w:pPr>
        <w:rPr>
          <w:rFonts w:ascii="Trebuchet MS" w:hAnsi="Trebuchet MS"/>
        </w:rPr>
      </w:pPr>
      <w:r w:rsidRPr="0091549E">
        <w:rPr>
          <w:b/>
          <w:sz w:val="24"/>
          <w:szCs w:val="24"/>
          <w:u w:val="single"/>
        </w:rPr>
        <w:t xml:space="preserve">How the proposed project relates to </w:t>
      </w:r>
      <w:r w:rsidR="00844668" w:rsidRPr="0091549E">
        <w:rPr>
          <w:b/>
          <w:sz w:val="24"/>
          <w:szCs w:val="24"/>
          <w:u w:val="single"/>
        </w:rPr>
        <w:t>t</w:t>
      </w:r>
      <w:r w:rsidRPr="0091549E">
        <w:rPr>
          <w:b/>
          <w:sz w:val="24"/>
          <w:szCs w:val="24"/>
          <w:u w:val="single"/>
        </w:rPr>
        <w:t xml:space="preserve">he </w:t>
      </w:r>
      <w:proofErr w:type="spellStart"/>
      <w:r w:rsidRPr="0091549E">
        <w:rPr>
          <w:b/>
          <w:sz w:val="24"/>
          <w:szCs w:val="24"/>
          <w:u w:val="single"/>
        </w:rPr>
        <w:t>Najim</w:t>
      </w:r>
      <w:proofErr w:type="spellEnd"/>
      <w:r w:rsidRPr="0091549E">
        <w:rPr>
          <w:b/>
          <w:sz w:val="24"/>
          <w:szCs w:val="24"/>
          <w:u w:val="single"/>
        </w:rPr>
        <w:t xml:space="preserve"> Family Foundation’s funding priorities:</w:t>
      </w:r>
      <w:r w:rsidR="00323343" w:rsidRPr="0091549E">
        <w:rPr>
          <w:sz w:val="24"/>
          <w:szCs w:val="24"/>
        </w:rPr>
        <w:t xml:space="preserve"> </w:t>
      </w:r>
      <w:r w:rsidR="00C71C87">
        <w:rPr>
          <w:sz w:val="24"/>
          <w:szCs w:val="24"/>
        </w:rPr>
        <w:t xml:space="preserve">Like the </w:t>
      </w:r>
      <w:proofErr w:type="spellStart"/>
      <w:r w:rsidR="00C71C87">
        <w:rPr>
          <w:sz w:val="24"/>
          <w:szCs w:val="24"/>
        </w:rPr>
        <w:t>Najim</w:t>
      </w:r>
      <w:proofErr w:type="spellEnd"/>
      <w:r w:rsidR="00C71C87">
        <w:rPr>
          <w:sz w:val="24"/>
          <w:szCs w:val="24"/>
        </w:rPr>
        <w:t xml:space="preserve"> Family Foundation, Rise Recovery is committed to making a positive and profound impact in the lives of youth in the Greater San Antonio Area. Both Foundation and Rise understand that substance use in a family increases the prevalence of so many other social ills like domestic violence, physical abuse, mental health issues, behavioral problems and the costly waste of community resources for health emergencies and justice services. The </w:t>
      </w:r>
      <w:proofErr w:type="spellStart"/>
      <w:r w:rsidR="00C71C87">
        <w:rPr>
          <w:sz w:val="24"/>
          <w:szCs w:val="24"/>
        </w:rPr>
        <w:t>Najim</w:t>
      </w:r>
      <w:proofErr w:type="spellEnd"/>
      <w:r w:rsidR="00C22F99">
        <w:rPr>
          <w:sz w:val="24"/>
          <w:szCs w:val="24"/>
        </w:rPr>
        <w:t xml:space="preserve"> Family</w:t>
      </w:r>
      <w:r w:rsidR="00C71C87">
        <w:rPr>
          <w:sz w:val="24"/>
          <w:szCs w:val="24"/>
        </w:rPr>
        <w:t xml:space="preserve"> Foundation and Rise also understand that investment in youth today prevent them from becoming the homelessness, addiction, and criminality statistics of tomorrow. Together, we aim to build healthier families, productive citizens, the improved health and wellness of a child, a family and a community.</w:t>
      </w:r>
    </w:p>
    <w:p w14:paraId="3979A651" w14:textId="77777777" w:rsidR="009A6B47" w:rsidRPr="0091549E" w:rsidRDefault="009A6B47" w:rsidP="00C71C87">
      <w:pPr>
        <w:spacing w:line="276" w:lineRule="auto"/>
        <w:rPr>
          <w:sz w:val="24"/>
          <w:szCs w:val="24"/>
        </w:rPr>
      </w:pPr>
    </w:p>
    <w:p w14:paraId="0AEE510A" w14:textId="1CD4512D" w:rsidR="009A6B47" w:rsidRPr="0091549E" w:rsidRDefault="009E099E" w:rsidP="00C71C87">
      <w:pPr>
        <w:spacing w:line="276" w:lineRule="auto"/>
        <w:rPr>
          <w:sz w:val="24"/>
          <w:szCs w:val="24"/>
        </w:rPr>
      </w:pPr>
      <w:r w:rsidRPr="0091549E">
        <w:rPr>
          <w:b/>
          <w:sz w:val="24"/>
          <w:szCs w:val="24"/>
          <w:u w:val="single"/>
        </w:rPr>
        <w:t>L</w:t>
      </w:r>
      <w:r w:rsidR="001E5E33" w:rsidRPr="0091549E">
        <w:rPr>
          <w:b/>
          <w:sz w:val="24"/>
          <w:szCs w:val="24"/>
          <w:u w:val="single"/>
        </w:rPr>
        <w:t>ine-i</w:t>
      </w:r>
      <w:r w:rsidR="009A6B47" w:rsidRPr="0091549E">
        <w:rPr>
          <w:b/>
          <w:sz w:val="24"/>
          <w:szCs w:val="24"/>
          <w:u w:val="single"/>
        </w:rPr>
        <w:t>tem budget for project in which funds are being requested:</w:t>
      </w:r>
      <w:r w:rsidR="009A6B47" w:rsidRPr="0091549E">
        <w:rPr>
          <w:sz w:val="24"/>
          <w:szCs w:val="24"/>
        </w:rPr>
        <w:t xml:space="preserve"> </w:t>
      </w:r>
    </w:p>
    <w:tbl>
      <w:tblPr>
        <w:tblStyle w:val="TableGrid"/>
        <w:tblW w:w="0" w:type="auto"/>
        <w:tblLook w:val="04A0" w:firstRow="1" w:lastRow="0" w:firstColumn="1" w:lastColumn="0" w:noHBand="0" w:noVBand="1"/>
      </w:tblPr>
      <w:tblGrid>
        <w:gridCol w:w="4922"/>
        <w:gridCol w:w="1910"/>
        <w:gridCol w:w="2024"/>
      </w:tblGrid>
      <w:tr w:rsidR="00C12475" w:rsidRPr="0091549E" w14:paraId="61877EF4" w14:textId="77777777" w:rsidTr="00C71C87">
        <w:tc>
          <w:tcPr>
            <w:tcW w:w="4922" w:type="dxa"/>
            <w:vAlign w:val="center"/>
          </w:tcPr>
          <w:p w14:paraId="19CB1143" w14:textId="3A40DA62" w:rsidR="00C12475" w:rsidRPr="0091549E" w:rsidRDefault="00C12475" w:rsidP="00C12475">
            <w:pPr>
              <w:spacing w:line="276" w:lineRule="auto"/>
              <w:jc w:val="center"/>
              <w:rPr>
                <w:b/>
                <w:sz w:val="24"/>
                <w:szCs w:val="24"/>
              </w:rPr>
            </w:pPr>
            <w:r w:rsidRPr="0091549E">
              <w:rPr>
                <w:b/>
                <w:sz w:val="24"/>
                <w:szCs w:val="24"/>
              </w:rPr>
              <w:t>Description</w:t>
            </w:r>
          </w:p>
        </w:tc>
        <w:tc>
          <w:tcPr>
            <w:tcW w:w="1910" w:type="dxa"/>
            <w:vAlign w:val="center"/>
          </w:tcPr>
          <w:p w14:paraId="1E61EA25" w14:textId="6506A57C" w:rsidR="00C12475" w:rsidRPr="0091549E" w:rsidRDefault="00C12475" w:rsidP="00733648">
            <w:pPr>
              <w:spacing w:line="276" w:lineRule="auto"/>
              <w:jc w:val="center"/>
              <w:rPr>
                <w:b/>
                <w:sz w:val="24"/>
                <w:szCs w:val="24"/>
              </w:rPr>
            </w:pPr>
            <w:r w:rsidRPr="0091549E">
              <w:rPr>
                <w:b/>
                <w:sz w:val="24"/>
                <w:szCs w:val="24"/>
              </w:rPr>
              <w:t>Project Allocation</w:t>
            </w:r>
          </w:p>
        </w:tc>
        <w:tc>
          <w:tcPr>
            <w:tcW w:w="2024" w:type="dxa"/>
            <w:vAlign w:val="center"/>
          </w:tcPr>
          <w:p w14:paraId="2D6046C3" w14:textId="4B07759D" w:rsidR="00C12475" w:rsidRPr="0091549E" w:rsidRDefault="00C12475" w:rsidP="00733648">
            <w:pPr>
              <w:spacing w:line="276" w:lineRule="auto"/>
              <w:jc w:val="center"/>
              <w:rPr>
                <w:b/>
                <w:sz w:val="24"/>
                <w:szCs w:val="24"/>
              </w:rPr>
            </w:pPr>
            <w:proofErr w:type="spellStart"/>
            <w:r w:rsidRPr="0091549E">
              <w:rPr>
                <w:b/>
                <w:sz w:val="24"/>
                <w:szCs w:val="24"/>
              </w:rPr>
              <w:t>Najim</w:t>
            </w:r>
            <w:proofErr w:type="spellEnd"/>
            <w:r w:rsidRPr="0091549E">
              <w:rPr>
                <w:b/>
                <w:sz w:val="24"/>
                <w:szCs w:val="24"/>
              </w:rPr>
              <w:t xml:space="preserve"> Requested Funds Allocation</w:t>
            </w:r>
          </w:p>
        </w:tc>
      </w:tr>
      <w:tr w:rsidR="00733648" w:rsidRPr="0091549E" w14:paraId="69070557" w14:textId="77777777" w:rsidTr="00C71C87">
        <w:tc>
          <w:tcPr>
            <w:tcW w:w="4922" w:type="dxa"/>
            <w:vAlign w:val="bottom"/>
          </w:tcPr>
          <w:p w14:paraId="261E47DC" w14:textId="280488A6" w:rsidR="00733648" w:rsidRPr="0091549E" w:rsidRDefault="00C71C87" w:rsidP="009A6B47">
            <w:pPr>
              <w:spacing w:line="276" w:lineRule="auto"/>
              <w:rPr>
                <w:sz w:val="24"/>
                <w:szCs w:val="24"/>
              </w:rPr>
            </w:pPr>
            <w:r>
              <w:rPr>
                <w:sz w:val="24"/>
                <w:szCs w:val="24"/>
              </w:rPr>
              <w:t>Salaries, Payroll Taxes and Benefits</w:t>
            </w:r>
          </w:p>
        </w:tc>
        <w:tc>
          <w:tcPr>
            <w:tcW w:w="1910" w:type="dxa"/>
            <w:vAlign w:val="bottom"/>
          </w:tcPr>
          <w:p w14:paraId="72B78801" w14:textId="406EBA8A" w:rsidR="00733648" w:rsidRPr="0091549E" w:rsidRDefault="008A4F7D" w:rsidP="00733648">
            <w:pPr>
              <w:spacing w:line="276" w:lineRule="auto"/>
              <w:jc w:val="center"/>
              <w:rPr>
                <w:sz w:val="24"/>
                <w:szCs w:val="24"/>
              </w:rPr>
            </w:pPr>
            <w:r>
              <w:rPr>
                <w:color w:val="000000"/>
                <w:sz w:val="24"/>
                <w:szCs w:val="24"/>
              </w:rPr>
              <w:t>$   589,126</w:t>
            </w:r>
          </w:p>
        </w:tc>
        <w:tc>
          <w:tcPr>
            <w:tcW w:w="2024" w:type="dxa"/>
            <w:vAlign w:val="bottom"/>
          </w:tcPr>
          <w:p w14:paraId="05E97A57" w14:textId="06165E5E" w:rsidR="00733648" w:rsidRPr="0091549E" w:rsidRDefault="00733648" w:rsidP="008A4F7D">
            <w:pPr>
              <w:spacing w:line="276" w:lineRule="auto"/>
              <w:jc w:val="center"/>
              <w:rPr>
                <w:sz w:val="24"/>
                <w:szCs w:val="24"/>
              </w:rPr>
            </w:pPr>
            <w:r w:rsidRPr="0091549E">
              <w:rPr>
                <w:sz w:val="24"/>
                <w:szCs w:val="24"/>
              </w:rPr>
              <w:t>$</w:t>
            </w:r>
            <w:r w:rsidR="008A4F7D">
              <w:rPr>
                <w:sz w:val="24"/>
                <w:szCs w:val="24"/>
              </w:rPr>
              <w:t>36,500</w:t>
            </w:r>
          </w:p>
        </w:tc>
      </w:tr>
      <w:tr w:rsidR="00733648" w:rsidRPr="0091549E" w14:paraId="5A5546EA" w14:textId="77777777" w:rsidTr="00C71C87">
        <w:tc>
          <w:tcPr>
            <w:tcW w:w="4922" w:type="dxa"/>
            <w:vAlign w:val="bottom"/>
          </w:tcPr>
          <w:p w14:paraId="19505D9D" w14:textId="6C021CC1" w:rsidR="00733648" w:rsidRPr="0091549E" w:rsidRDefault="00046156" w:rsidP="009A6B47">
            <w:pPr>
              <w:spacing w:line="276" w:lineRule="auto"/>
              <w:rPr>
                <w:sz w:val="24"/>
                <w:szCs w:val="24"/>
              </w:rPr>
            </w:pPr>
            <w:r>
              <w:rPr>
                <w:sz w:val="24"/>
                <w:szCs w:val="24"/>
              </w:rPr>
              <w:t>Program Expenses (Activities, Events, Supplies)</w:t>
            </w:r>
          </w:p>
        </w:tc>
        <w:tc>
          <w:tcPr>
            <w:tcW w:w="1910" w:type="dxa"/>
            <w:vAlign w:val="bottom"/>
          </w:tcPr>
          <w:p w14:paraId="3B23FD38" w14:textId="3067ECA1" w:rsidR="00733648" w:rsidRPr="0091549E" w:rsidRDefault="00733648" w:rsidP="00733648">
            <w:pPr>
              <w:spacing w:line="276" w:lineRule="auto"/>
              <w:jc w:val="center"/>
              <w:rPr>
                <w:sz w:val="24"/>
                <w:szCs w:val="24"/>
              </w:rPr>
            </w:pPr>
            <w:r w:rsidRPr="0091549E">
              <w:rPr>
                <w:color w:val="000000"/>
                <w:sz w:val="24"/>
                <w:szCs w:val="24"/>
              </w:rPr>
              <w:t xml:space="preserve">$      </w:t>
            </w:r>
            <w:r w:rsidR="008A4F7D">
              <w:rPr>
                <w:color w:val="000000"/>
                <w:sz w:val="24"/>
                <w:szCs w:val="24"/>
              </w:rPr>
              <w:t>26,194</w:t>
            </w:r>
          </w:p>
        </w:tc>
        <w:tc>
          <w:tcPr>
            <w:tcW w:w="2024" w:type="dxa"/>
            <w:vAlign w:val="bottom"/>
          </w:tcPr>
          <w:p w14:paraId="6EB6151F" w14:textId="3044C830" w:rsidR="00733648" w:rsidRPr="0091549E" w:rsidRDefault="00733648" w:rsidP="008A4F7D">
            <w:pPr>
              <w:spacing w:line="276" w:lineRule="auto"/>
              <w:jc w:val="center"/>
              <w:rPr>
                <w:sz w:val="24"/>
                <w:szCs w:val="24"/>
              </w:rPr>
            </w:pPr>
            <w:r w:rsidRPr="0091549E">
              <w:rPr>
                <w:sz w:val="24"/>
                <w:szCs w:val="24"/>
              </w:rPr>
              <w:t>$</w:t>
            </w:r>
            <w:r w:rsidR="008A4F7D">
              <w:rPr>
                <w:sz w:val="24"/>
                <w:szCs w:val="24"/>
              </w:rPr>
              <w:t>20,000</w:t>
            </w:r>
          </w:p>
        </w:tc>
      </w:tr>
      <w:tr w:rsidR="00733648" w:rsidRPr="0091549E" w14:paraId="0CBE1345" w14:textId="77777777" w:rsidTr="00C71C87">
        <w:tc>
          <w:tcPr>
            <w:tcW w:w="4922" w:type="dxa"/>
            <w:vAlign w:val="bottom"/>
          </w:tcPr>
          <w:p w14:paraId="148E5434" w14:textId="493AD51D" w:rsidR="00046156" w:rsidRPr="0091549E" w:rsidRDefault="00046156" w:rsidP="009A6B47">
            <w:pPr>
              <w:spacing w:line="276" w:lineRule="auto"/>
              <w:rPr>
                <w:sz w:val="24"/>
                <w:szCs w:val="24"/>
              </w:rPr>
            </w:pPr>
            <w:r>
              <w:rPr>
                <w:sz w:val="24"/>
                <w:szCs w:val="24"/>
              </w:rPr>
              <w:t>IT Support and Utilities</w:t>
            </w:r>
          </w:p>
        </w:tc>
        <w:tc>
          <w:tcPr>
            <w:tcW w:w="1910" w:type="dxa"/>
            <w:vAlign w:val="bottom"/>
          </w:tcPr>
          <w:p w14:paraId="33411686" w14:textId="2D87EF8C" w:rsidR="00733648" w:rsidRPr="0091549E" w:rsidRDefault="00733648" w:rsidP="00733648">
            <w:pPr>
              <w:spacing w:line="276" w:lineRule="auto"/>
              <w:jc w:val="center"/>
              <w:rPr>
                <w:sz w:val="24"/>
                <w:szCs w:val="24"/>
              </w:rPr>
            </w:pPr>
            <w:r w:rsidRPr="0091549E">
              <w:rPr>
                <w:color w:val="000000"/>
                <w:sz w:val="24"/>
                <w:szCs w:val="24"/>
              </w:rPr>
              <w:t xml:space="preserve">$      </w:t>
            </w:r>
            <w:r w:rsidR="008A4F7D">
              <w:rPr>
                <w:color w:val="000000"/>
                <w:sz w:val="24"/>
                <w:szCs w:val="24"/>
              </w:rPr>
              <w:t>54,880</w:t>
            </w:r>
          </w:p>
        </w:tc>
        <w:tc>
          <w:tcPr>
            <w:tcW w:w="2024" w:type="dxa"/>
            <w:vAlign w:val="bottom"/>
          </w:tcPr>
          <w:p w14:paraId="6309DF08" w14:textId="4B546F02" w:rsidR="00733648" w:rsidRPr="0091549E" w:rsidRDefault="00733648" w:rsidP="00733648">
            <w:pPr>
              <w:spacing w:line="276" w:lineRule="auto"/>
              <w:jc w:val="center"/>
              <w:rPr>
                <w:sz w:val="24"/>
                <w:szCs w:val="24"/>
              </w:rPr>
            </w:pPr>
            <w:r w:rsidRPr="0091549E">
              <w:rPr>
                <w:sz w:val="24"/>
                <w:szCs w:val="24"/>
              </w:rPr>
              <w:t>$</w:t>
            </w:r>
            <w:r w:rsidR="008A4F7D">
              <w:rPr>
                <w:sz w:val="24"/>
                <w:szCs w:val="24"/>
              </w:rPr>
              <w:t>20</w:t>
            </w:r>
            <w:r w:rsidRPr="0091549E">
              <w:rPr>
                <w:sz w:val="24"/>
                <w:szCs w:val="24"/>
              </w:rPr>
              <w:t>,000</w:t>
            </w:r>
          </w:p>
        </w:tc>
      </w:tr>
      <w:tr w:rsidR="00733648" w:rsidRPr="0091549E" w14:paraId="76BC8CF9" w14:textId="77777777" w:rsidTr="00C71C87">
        <w:tc>
          <w:tcPr>
            <w:tcW w:w="4922" w:type="dxa"/>
            <w:vAlign w:val="bottom"/>
          </w:tcPr>
          <w:p w14:paraId="72F5FDFA" w14:textId="56D9BFD0" w:rsidR="00733648" w:rsidRPr="0091549E" w:rsidRDefault="00046156" w:rsidP="009A6B47">
            <w:pPr>
              <w:spacing w:line="276" w:lineRule="auto"/>
              <w:rPr>
                <w:sz w:val="24"/>
                <w:szCs w:val="24"/>
              </w:rPr>
            </w:pPr>
            <w:r>
              <w:rPr>
                <w:sz w:val="24"/>
                <w:szCs w:val="24"/>
              </w:rPr>
              <w:t>Insurance</w:t>
            </w:r>
          </w:p>
        </w:tc>
        <w:tc>
          <w:tcPr>
            <w:tcW w:w="1910" w:type="dxa"/>
            <w:vAlign w:val="bottom"/>
          </w:tcPr>
          <w:p w14:paraId="621D5DB3" w14:textId="2CF54B0B" w:rsidR="00733648" w:rsidRPr="0091549E" w:rsidRDefault="00733648" w:rsidP="00733648">
            <w:pPr>
              <w:spacing w:line="276" w:lineRule="auto"/>
              <w:jc w:val="center"/>
              <w:rPr>
                <w:sz w:val="24"/>
                <w:szCs w:val="24"/>
              </w:rPr>
            </w:pPr>
            <w:r w:rsidRPr="0091549E">
              <w:rPr>
                <w:color w:val="000000"/>
                <w:sz w:val="24"/>
                <w:szCs w:val="24"/>
              </w:rPr>
              <w:t xml:space="preserve">$      </w:t>
            </w:r>
            <w:r w:rsidR="008A4F7D">
              <w:rPr>
                <w:color w:val="000000"/>
                <w:sz w:val="24"/>
                <w:szCs w:val="24"/>
              </w:rPr>
              <w:t>11,250</w:t>
            </w:r>
          </w:p>
        </w:tc>
        <w:tc>
          <w:tcPr>
            <w:tcW w:w="2024" w:type="dxa"/>
            <w:vAlign w:val="bottom"/>
          </w:tcPr>
          <w:p w14:paraId="1BA07BDD" w14:textId="77777777" w:rsidR="00733648" w:rsidRPr="0091549E" w:rsidRDefault="00733648" w:rsidP="00733648">
            <w:pPr>
              <w:spacing w:line="276" w:lineRule="auto"/>
              <w:jc w:val="center"/>
              <w:rPr>
                <w:sz w:val="24"/>
                <w:szCs w:val="24"/>
              </w:rPr>
            </w:pPr>
          </w:p>
        </w:tc>
      </w:tr>
      <w:tr w:rsidR="00733648" w:rsidRPr="0091549E" w14:paraId="50976DEF" w14:textId="77777777" w:rsidTr="00C71C87">
        <w:tc>
          <w:tcPr>
            <w:tcW w:w="4922" w:type="dxa"/>
            <w:vAlign w:val="bottom"/>
          </w:tcPr>
          <w:p w14:paraId="3A79156F" w14:textId="47D45ED7" w:rsidR="00733648" w:rsidRPr="0091549E" w:rsidRDefault="00046156" w:rsidP="009A6B47">
            <w:pPr>
              <w:spacing w:line="276" w:lineRule="auto"/>
              <w:rPr>
                <w:sz w:val="24"/>
                <w:szCs w:val="24"/>
              </w:rPr>
            </w:pPr>
            <w:r>
              <w:rPr>
                <w:sz w:val="24"/>
                <w:szCs w:val="24"/>
              </w:rPr>
              <w:t>Rent Paid</w:t>
            </w:r>
          </w:p>
        </w:tc>
        <w:tc>
          <w:tcPr>
            <w:tcW w:w="1910" w:type="dxa"/>
            <w:vAlign w:val="bottom"/>
          </w:tcPr>
          <w:p w14:paraId="5238093B" w14:textId="0C3A10EC" w:rsidR="00733648" w:rsidRPr="0091549E" w:rsidRDefault="00733648" w:rsidP="00733648">
            <w:pPr>
              <w:spacing w:line="276" w:lineRule="auto"/>
              <w:jc w:val="center"/>
              <w:rPr>
                <w:sz w:val="24"/>
                <w:szCs w:val="24"/>
              </w:rPr>
            </w:pPr>
            <w:r w:rsidRPr="0091549E">
              <w:rPr>
                <w:color w:val="000000"/>
                <w:sz w:val="24"/>
                <w:szCs w:val="24"/>
              </w:rPr>
              <w:t xml:space="preserve">$        </w:t>
            </w:r>
            <w:r w:rsidR="008A4F7D">
              <w:rPr>
                <w:color w:val="000000"/>
                <w:sz w:val="24"/>
                <w:szCs w:val="24"/>
              </w:rPr>
              <w:t>3,000</w:t>
            </w:r>
          </w:p>
        </w:tc>
        <w:tc>
          <w:tcPr>
            <w:tcW w:w="2024" w:type="dxa"/>
            <w:vAlign w:val="bottom"/>
          </w:tcPr>
          <w:p w14:paraId="4AC70854" w14:textId="77777777" w:rsidR="00733648" w:rsidRPr="0091549E" w:rsidRDefault="00733648" w:rsidP="00733648">
            <w:pPr>
              <w:spacing w:line="276" w:lineRule="auto"/>
              <w:jc w:val="center"/>
              <w:rPr>
                <w:sz w:val="24"/>
                <w:szCs w:val="24"/>
              </w:rPr>
            </w:pPr>
          </w:p>
        </w:tc>
      </w:tr>
      <w:tr w:rsidR="00733648" w:rsidRPr="0091549E" w14:paraId="27D124AF" w14:textId="77777777" w:rsidTr="00C71C87">
        <w:tc>
          <w:tcPr>
            <w:tcW w:w="4922" w:type="dxa"/>
            <w:vAlign w:val="bottom"/>
          </w:tcPr>
          <w:p w14:paraId="0E9B1296" w14:textId="799F2E96" w:rsidR="00733648" w:rsidRPr="0091549E" w:rsidRDefault="00046156" w:rsidP="009A6B47">
            <w:pPr>
              <w:spacing w:line="276" w:lineRule="auto"/>
              <w:rPr>
                <w:b/>
                <w:sz w:val="24"/>
                <w:szCs w:val="24"/>
              </w:rPr>
            </w:pPr>
            <w:r>
              <w:rPr>
                <w:sz w:val="24"/>
                <w:szCs w:val="24"/>
              </w:rPr>
              <w:t>Building &amp; Equipment Maintenance/Repairs</w:t>
            </w:r>
          </w:p>
        </w:tc>
        <w:tc>
          <w:tcPr>
            <w:tcW w:w="1910" w:type="dxa"/>
            <w:vAlign w:val="bottom"/>
          </w:tcPr>
          <w:p w14:paraId="6E24BEDC" w14:textId="01A7644E" w:rsidR="008A4F7D" w:rsidRPr="008A4F7D" w:rsidRDefault="00733648" w:rsidP="008A4F7D">
            <w:pPr>
              <w:spacing w:line="276" w:lineRule="auto"/>
              <w:jc w:val="center"/>
              <w:rPr>
                <w:color w:val="000000"/>
                <w:sz w:val="24"/>
                <w:szCs w:val="24"/>
              </w:rPr>
            </w:pPr>
            <w:r w:rsidRPr="0091549E">
              <w:rPr>
                <w:color w:val="000000"/>
                <w:sz w:val="24"/>
                <w:szCs w:val="24"/>
              </w:rPr>
              <w:t xml:space="preserve">$      </w:t>
            </w:r>
            <w:r w:rsidR="008A4F7D">
              <w:rPr>
                <w:color w:val="000000"/>
                <w:sz w:val="24"/>
                <w:szCs w:val="24"/>
              </w:rPr>
              <w:t>17,300</w:t>
            </w:r>
          </w:p>
        </w:tc>
        <w:tc>
          <w:tcPr>
            <w:tcW w:w="2024" w:type="dxa"/>
            <w:vAlign w:val="bottom"/>
          </w:tcPr>
          <w:p w14:paraId="12BAEADF" w14:textId="3187F5CC" w:rsidR="00733648" w:rsidRPr="0091549E" w:rsidRDefault="00733648" w:rsidP="00733648">
            <w:pPr>
              <w:spacing w:line="276" w:lineRule="auto"/>
              <w:jc w:val="center"/>
              <w:rPr>
                <w:sz w:val="24"/>
                <w:szCs w:val="24"/>
              </w:rPr>
            </w:pPr>
            <w:r w:rsidRPr="0091549E">
              <w:rPr>
                <w:sz w:val="24"/>
                <w:szCs w:val="24"/>
              </w:rPr>
              <w:t>$1500</w:t>
            </w:r>
          </w:p>
        </w:tc>
      </w:tr>
      <w:tr w:rsidR="00733648" w:rsidRPr="0091549E" w14:paraId="3F713C6A" w14:textId="77777777" w:rsidTr="00046156">
        <w:trPr>
          <w:trHeight w:val="260"/>
        </w:trPr>
        <w:tc>
          <w:tcPr>
            <w:tcW w:w="4922" w:type="dxa"/>
            <w:vAlign w:val="bottom"/>
          </w:tcPr>
          <w:p w14:paraId="1D7925D8" w14:textId="0F93B45D" w:rsidR="00733648" w:rsidRPr="0091549E" w:rsidRDefault="00046156" w:rsidP="009A6B47">
            <w:pPr>
              <w:spacing w:line="276" w:lineRule="auto"/>
              <w:rPr>
                <w:b/>
                <w:sz w:val="24"/>
                <w:szCs w:val="24"/>
              </w:rPr>
            </w:pPr>
            <w:r>
              <w:rPr>
                <w:sz w:val="24"/>
                <w:szCs w:val="24"/>
              </w:rPr>
              <w:t>Auto Expenses</w:t>
            </w:r>
          </w:p>
        </w:tc>
        <w:tc>
          <w:tcPr>
            <w:tcW w:w="1910" w:type="dxa"/>
            <w:vAlign w:val="bottom"/>
          </w:tcPr>
          <w:p w14:paraId="4BAD81E5" w14:textId="079047F4" w:rsidR="00733648" w:rsidRPr="0091549E" w:rsidRDefault="00733648" w:rsidP="00733648">
            <w:pPr>
              <w:spacing w:line="276" w:lineRule="auto"/>
              <w:jc w:val="center"/>
              <w:rPr>
                <w:sz w:val="24"/>
                <w:szCs w:val="24"/>
              </w:rPr>
            </w:pPr>
            <w:r w:rsidRPr="0091549E">
              <w:rPr>
                <w:color w:val="000000"/>
                <w:sz w:val="24"/>
                <w:szCs w:val="24"/>
              </w:rPr>
              <w:t xml:space="preserve">$      </w:t>
            </w:r>
            <w:r w:rsidR="008A4F7D">
              <w:rPr>
                <w:color w:val="000000"/>
                <w:sz w:val="24"/>
                <w:szCs w:val="24"/>
              </w:rPr>
              <w:t>20,500</w:t>
            </w:r>
          </w:p>
        </w:tc>
        <w:tc>
          <w:tcPr>
            <w:tcW w:w="2024" w:type="dxa"/>
            <w:vAlign w:val="bottom"/>
          </w:tcPr>
          <w:p w14:paraId="5A5D1165" w14:textId="1090B471" w:rsidR="00733648" w:rsidRPr="0091549E" w:rsidRDefault="00733648" w:rsidP="008A4F7D">
            <w:pPr>
              <w:spacing w:line="276" w:lineRule="auto"/>
              <w:jc w:val="center"/>
              <w:rPr>
                <w:sz w:val="24"/>
                <w:szCs w:val="24"/>
              </w:rPr>
            </w:pPr>
            <w:r w:rsidRPr="0091549E">
              <w:rPr>
                <w:sz w:val="24"/>
                <w:szCs w:val="24"/>
              </w:rPr>
              <w:t>$</w:t>
            </w:r>
            <w:r w:rsidR="008A4F7D">
              <w:rPr>
                <w:sz w:val="24"/>
                <w:szCs w:val="24"/>
              </w:rPr>
              <w:t>12,000</w:t>
            </w:r>
          </w:p>
        </w:tc>
      </w:tr>
      <w:tr w:rsidR="00733648" w:rsidRPr="0091549E" w14:paraId="69C7E71C" w14:textId="77777777" w:rsidTr="00C71C87">
        <w:tc>
          <w:tcPr>
            <w:tcW w:w="4922" w:type="dxa"/>
            <w:vAlign w:val="bottom"/>
          </w:tcPr>
          <w:p w14:paraId="1D50B20E" w14:textId="34FA107D" w:rsidR="00733648" w:rsidRPr="0091549E" w:rsidRDefault="00733648" w:rsidP="00733648">
            <w:pPr>
              <w:spacing w:line="276" w:lineRule="auto"/>
              <w:jc w:val="right"/>
              <w:rPr>
                <w:b/>
                <w:sz w:val="24"/>
                <w:szCs w:val="24"/>
              </w:rPr>
            </w:pPr>
            <w:r w:rsidRPr="0091549E">
              <w:rPr>
                <w:b/>
                <w:sz w:val="24"/>
                <w:szCs w:val="24"/>
              </w:rPr>
              <w:t>TOTAL</w:t>
            </w:r>
          </w:p>
        </w:tc>
        <w:tc>
          <w:tcPr>
            <w:tcW w:w="1910" w:type="dxa"/>
            <w:vAlign w:val="bottom"/>
          </w:tcPr>
          <w:p w14:paraId="3BCB7DFB" w14:textId="7D443CC8" w:rsidR="00733648" w:rsidRPr="0091549E" w:rsidRDefault="00733648" w:rsidP="008A4F7D">
            <w:pPr>
              <w:jc w:val="center"/>
              <w:rPr>
                <w:sz w:val="24"/>
                <w:szCs w:val="24"/>
              </w:rPr>
            </w:pPr>
            <w:r w:rsidRPr="0091549E">
              <w:rPr>
                <w:sz w:val="24"/>
                <w:szCs w:val="24"/>
              </w:rPr>
              <w:t xml:space="preserve">$   </w:t>
            </w:r>
            <w:r w:rsidR="008A4F7D">
              <w:rPr>
                <w:sz w:val="24"/>
                <w:szCs w:val="24"/>
              </w:rPr>
              <w:t>722,250</w:t>
            </w:r>
          </w:p>
        </w:tc>
        <w:tc>
          <w:tcPr>
            <w:tcW w:w="2024" w:type="dxa"/>
            <w:vAlign w:val="bottom"/>
          </w:tcPr>
          <w:p w14:paraId="08ACD72F" w14:textId="1C861F9A" w:rsidR="00733648" w:rsidRPr="0091549E" w:rsidRDefault="00733648" w:rsidP="00733648">
            <w:pPr>
              <w:spacing w:line="276" w:lineRule="auto"/>
              <w:jc w:val="center"/>
              <w:rPr>
                <w:sz w:val="24"/>
                <w:szCs w:val="24"/>
              </w:rPr>
            </w:pPr>
            <w:r w:rsidRPr="0091549E">
              <w:rPr>
                <w:sz w:val="24"/>
                <w:szCs w:val="24"/>
              </w:rPr>
              <w:t>$90,000</w:t>
            </w:r>
          </w:p>
        </w:tc>
      </w:tr>
    </w:tbl>
    <w:p w14:paraId="289ACB96" w14:textId="77777777" w:rsidR="009B01D0" w:rsidRPr="0091549E" w:rsidRDefault="009B01D0" w:rsidP="00C71C87">
      <w:pPr>
        <w:spacing w:line="276" w:lineRule="auto"/>
        <w:rPr>
          <w:sz w:val="24"/>
          <w:szCs w:val="24"/>
        </w:rPr>
      </w:pPr>
    </w:p>
    <w:p w14:paraId="2C8CA7B7" w14:textId="292EACE8" w:rsidR="00733648" w:rsidRPr="0091549E" w:rsidRDefault="00733648" w:rsidP="00C71C87">
      <w:pPr>
        <w:spacing w:line="276" w:lineRule="auto"/>
        <w:rPr>
          <w:b/>
          <w:sz w:val="24"/>
          <w:szCs w:val="24"/>
          <w:u w:val="single"/>
        </w:rPr>
      </w:pPr>
      <w:r w:rsidRPr="0091549E">
        <w:rPr>
          <w:b/>
          <w:sz w:val="24"/>
          <w:szCs w:val="24"/>
          <w:u w:val="single"/>
        </w:rPr>
        <w:t xml:space="preserve">The TOTAL project initiatives will impact </w:t>
      </w:r>
      <w:r w:rsidR="008A4F7D">
        <w:rPr>
          <w:b/>
          <w:sz w:val="24"/>
          <w:szCs w:val="24"/>
          <w:u w:val="single"/>
        </w:rPr>
        <w:t>800</w:t>
      </w:r>
      <w:r w:rsidRPr="0091549E">
        <w:rPr>
          <w:b/>
          <w:sz w:val="24"/>
          <w:szCs w:val="24"/>
          <w:u w:val="single"/>
        </w:rPr>
        <w:t xml:space="preserve"> unduplicated children.</w:t>
      </w:r>
    </w:p>
    <w:p w14:paraId="3E242D56" w14:textId="77777777" w:rsidR="00733648" w:rsidRPr="0091549E" w:rsidRDefault="00733648" w:rsidP="00C71C87">
      <w:pPr>
        <w:spacing w:line="276" w:lineRule="auto"/>
        <w:rPr>
          <w:b/>
          <w:sz w:val="24"/>
          <w:szCs w:val="24"/>
          <w:u w:val="single"/>
        </w:rPr>
      </w:pPr>
    </w:p>
    <w:p w14:paraId="0CEC1B54" w14:textId="6A154242" w:rsidR="00733648" w:rsidRPr="0091549E" w:rsidRDefault="00733648" w:rsidP="00C71C87">
      <w:pPr>
        <w:spacing w:line="276" w:lineRule="auto"/>
        <w:rPr>
          <w:b/>
          <w:sz w:val="24"/>
          <w:szCs w:val="24"/>
          <w:u w:val="single"/>
        </w:rPr>
      </w:pPr>
      <w:proofErr w:type="spellStart"/>
      <w:r w:rsidRPr="0091549E">
        <w:rPr>
          <w:b/>
          <w:sz w:val="24"/>
          <w:szCs w:val="24"/>
          <w:u w:val="single"/>
        </w:rPr>
        <w:t>Najim</w:t>
      </w:r>
      <w:proofErr w:type="spellEnd"/>
      <w:r w:rsidRPr="0091549E">
        <w:rPr>
          <w:b/>
          <w:sz w:val="24"/>
          <w:szCs w:val="24"/>
          <w:u w:val="single"/>
        </w:rPr>
        <w:t xml:space="preserve"> Family Foundation will impact</w:t>
      </w:r>
      <w:r w:rsidR="00276CBE" w:rsidRPr="0091549E">
        <w:rPr>
          <w:b/>
          <w:sz w:val="24"/>
          <w:szCs w:val="24"/>
          <w:u w:val="single"/>
        </w:rPr>
        <w:t xml:space="preserve"> </w:t>
      </w:r>
      <w:r w:rsidR="008A4F7D">
        <w:rPr>
          <w:b/>
          <w:sz w:val="24"/>
          <w:szCs w:val="24"/>
          <w:u w:val="single"/>
        </w:rPr>
        <w:t>100</w:t>
      </w:r>
      <w:r w:rsidRPr="0091549E">
        <w:rPr>
          <w:b/>
          <w:sz w:val="24"/>
          <w:szCs w:val="24"/>
          <w:u w:val="single"/>
        </w:rPr>
        <w:t xml:space="preserve"> unduplicated children</w:t>
      </w:r>
    </w:p>
    <w:p w14:paraId="2B0AF4B1" w14:textId="77777777" w:rsidR="00733648" w:rsidRPr="0091549E" w:rsidRDefault="00733648" w:rsidP="00C71C87">
      <w:pPr>
        <w:spacing w:line="276" w:lineRule="auto"/>
        <w:rPr>
          <w:b/>
          <w:sz w:val="24"/>
          <w:szCs w:val="24"/>
          <w:u w:val="single"/>
        </w:rPr>
      </w:pPr>
    </w:p>
    <w:p w14:paraId="699BC4A7" w14:textId="4B8313C0" w:rsidR="00C12475" w:rsidRPr="0091549E" w:rsidRDefault="001E5E33" w:rsidP="00C71C87">
      <w:pPr>
        <w:spacing w:line="276" w:lineRule="auto"/>
        <w:rPr>
          <w:sz w:val="24"/>
          <w:szCs w:val="24"/>
        </w:rPr>
      </w:pPr>
      <w:r w:rsidRPr="0091549E">
        <w:rPr>
          <w:b/>
          <w:sz w:val="24"/>
          <w:szCs w:val="24"/>
          <w:u w:val="single"/>
        </w:rPr>
        <w:t>Organization total revenue and expenses for current fiscal year:</w:t>
      </w:r>
      <w:r w:rsidR="00FD3D4B">
        <w:rPr>
          <w:sz w:val="24"/>
          <w:szCs w:val="24"/>
        </w:rPr>
        <w:t xml:space="preserve"> </w:t>
      </w:r>
      <w:r w:rsidR="00CC725E" w:rsidRPr="0091549E">
        <w:rPr>
          <w:sz w:val="24"/>
          <w:szCs w:val="24"/>
        </w:rPr>
        <w:t>F</w:t>
      </w:r>
      <w:r w:rsidR="00C12475" w:rsidRPr="0091549E">
        <w:rPr>
          <w:sz w:val="24"/>
          <w:szCs w:val="24"/>
        </w:rPr>
        <w:t xml:space="preserve">or </w:t>
      </w:r>
      <w:r w:rsidR="00CC725E" w:rsidRPr="0091549E">
        <w:rPr>
          <w:sz w:val="24"/>
          <w:szCs w:val="24"/>
        </w:rPr>
        <w:t xml:space="preserve">current fiscal year </w:t>
      </w:r>
      <w:r w:rsidR="009E099E" w:rsidRPr="0091549E">
        <w:rPr>
          <w:sz w:val="24"/>
          <w:szCs w:val="24"/>
        </w:rPr>
        <w:t>2017-2018</w:t>
      </w:r>
      <w:r w:rsidR="00CC725E" w:rsidRPr="0091549E">
        <w:rPr>
          <w:sz w:val="24"/>
          <w:szCs w:val="24"/>
        </w:rPr>
        <w:t xml:space="preserve"> (July 1, </w:t>
      </w:r>
      <w:r w:rsidR="009E099E" w:rsidRPr="0091549E">
        <w:rPr>
          <w:sz w:val="24"/>
          <w:szCs w:val="24"/>
        </w:rPr>
        <w:t>2017</w:t>
      </w:r>
      <w:r w:rsidR="00CC725E" w:rsidRPr="0091549E">
        <w:rPr>
          <w:sz w:val="24"/>
          <w:szCs w:val="24"/>
        </w:rPr>
        <w:t xml:space="preserve"> – June 30, </w:t>
      </w:r>
      <w:r w:rsidR="009E099E" w:rsidRPr="0091549E">
        <w:rPr>
          <w:sz w:val="24"/>
          <w:szCs w:val="24"/>
        </w:rPr>
        <w:t>2018</w:t>
      </w:r>
      <w:r w:rsidR="00CC725E" w:rsidRPr="0091549E">
        <w:rPr>
          <w:sz w:val="24"/>
          <w:szCs w:val="24"/>
        </w:rPr>
        <w:t>), our total revenue budget is $</w:t>
      </w:r>
      <w:r w:rsidR="00C22F99" w:rsidRPr="0091549E">
        <w:rPr>
          <w:sz w:val="24"/>
          <w:szCs w:val="24"/>
        </w:rPr>
        <w:t>1,746,384</w:t>
      </w:r>
      <w:r w:rsidR="00C22F99">
        <w:rPr>
          <w:sz w:val="24"/>
          <w:szCs w:val="24"/>
        </w:rPr>
        <w:t xml:space="preserve"> </w:t>
      </w:r>
      <w:r w:rsidR="00CC725E" w:rsidRPr="0091549E">
        <w:rPr>
          <w:sz w:val="24"/>
          <w:szCs w:val="24"/>
        </w:rPr>
        <w:t>and our total expense budget is $1,</w:t>
      </w:r>
      <w:r w:rsidR="009E099E" w:rsidRPr="0091549E">
        <w:rPr>
          <w:sz w:val="24"/>
          <w:szCs w:val="24"/>
        </w:rPr>
        <w:t>746,384</w:t>
      </w:r>
      <w:r w:rsidR="00CC725E" w:rsidRPr="0091549E">
        <w:rPr>
          <w:sz w:val="24"/>
          <w:szCs w:val="24"/>
        </w:rPr>
        <w:t>.</w:t>
      </w:r>
    </w:p>
    <w:p w14:paraId="1A576025" w14:textId="77777777" w:rsidR="00CC725E" w:rsidRPr="0091549E" w:rsidRDefault="00CC725E" w:rsidP="00C71C87">
      <w:pPr>
        <w:spacing w:line="276" w:lineRule="auto"/>
        <w:rPr>
          <w:sz w:val="24"/>
          <w:szCs w:val="24"/>
        </w:rPr>
      </w:pPr>
    </w:p>
    <w:p w14:paraId="2DCDC7AD" w14:textId="2D96F67F" w:rsidR="001E5E33" w:rsidRPr="0091549E" w:rsidRDefault="001E5E33" w:rsidP="00C71C87">
      <w:pPr>
        <w:spacing w:line="276" w:lineRule="auto"/>
        <w:rPr>
          <w:sz w:val="24"/>
          <w:szCs w:val="24"/>
        </w:rPr>
      </w:pPr>
      <w:r w:rsidRPr="0091549E">
        <w:rPr>
          <w:b/>
          <w:sz w:val="24"/>
          <w:szCs w:val="24"/>
          <w:u w:val="single"/>
        </w:rPr>
        <w:t>Project timeline:</w:t>
      </w:r>
      <w:r w:rsidR="00CC725E" w:rsidRPr="0091549E">
        <w:rPr>
          <w:sz w:val="24"/>
          <w:szCs w:val="24"/>
        </w:rPr>
        <w:t xml:space="preserve"> </w:t>
      </w:r>
      <w:r w:rsidR="009E099E" w:rsidRPr="0091549E">
        <w:rPr>
          <w:sz w:val="24"/>
          <w:szCs w:val="24"/>
        </w:rPr>
        <w:t>The project timeline is ongoing</w:t>
      </w:r>
      <w:r w:rsidR="00CC725E" w:rsidRPr="0091549E">
        <w:rPr>
          <w:sz w:val="24"/>
          <w:szCs w:val="24"/>
        </w:rPr>
        <w:t xml:space="preserve"> for </w:t>
      </w:r>
      <w:r w:rsidR="009E099E" w:rsidRPr="0091549E">
        <w:rPr>
          <w:sz w:val="24"/>
          <w:szCs w:val="24"/>
        </w:rPr>
        <w:t>FY2018 (July 1, 2017 – June 30, 2018</w:t>
      </w:r>
      <w:r w:rsidR="00CC725E" w:rsidRPr="0091549E">
        <w:rPr>
          <w:sz w:val="24"/>
          <w:szCs w:val="24"/>
        </w:rPr>
        <w:t>)</w:t>
      </w:r>
    </w:p>
    <w:p w14:paraId="371E88E0" w14:textId="77777777" w:rsidR="001E5E33" w:rsidRPr="0091549E" w:rsidRDefault="001E5E33" w:rsidP="00C71C87">
      <w:pPr>
        <w:spacing w:line="276" w:lineRule="auto"/>
        <w:rPr>
          <w:sz w:val="24"/>
          <w:szCs w:val="24"/>
        </w:rPr>
      </w:pPr>
    </w:p>
    <w:p w14:paraId="4C7F2653" w14:textId="425CAD6E" w:rsidR="00FD3D4B" w:rsidRPr="0091549E" w:rsidRDefault="001E5E33" w:rsidP="00C71C87">
      <w:pPr>
        <w:spacing w:line="276" w:lineRule="auto"/>
        <w:rPr>
          <w:sz w:val="24"/>
          <w:szCs w:val="24"/>
        </w:rPr>
      </w:pPr>
      <w:r w:rsidRPr="00FD3D4B">
        <w:rPr>
          <w:b/>
          <w:sz w:val="24"/>
          <w:szCs w:val="24"/>
        </w:rPr>
        <w:t>Brief project evaluation criteria:</w:t>
      </w:r>
      <w:r w:rsidR="00FD3D4B">
        <w:rPr>
          <w:sz w:val="24"/>
          <w:szCs w:val="24"/>
        </w:rPr>
        <w:t xml:space="preserve"> </w:t>
      </w:r>
      <w:r w:rsidR="00FD3D4B" w:rsidRPr="00FD3D4B">
        <w:rPr>
          <w:sz w:val="24"/>
          <w:szCs w:val="24"/>
        </w:rPr>
        <w:t>Rise Recovery recognizes that substance use causes systemic problems in a young person’s and family’s life, in areas that are critical to their future as productive, contributing healthy members of society. As a result, we measure active participant success through following outcomes 1) improved community productivity, such as increase in positive engagement in work, school and volunteerism 2) improved resiliency factors measured by the Developmental Assets which includes access to positive influences, mentors and after school activities and 3) increased use of recovery tools in place of substance use.</w:t>
      </w:r>
    </w:p>
    <w:p w14:paraId="2C11B9E2" w14:textId="77777777" w:rsidR="001E5E33" w:rsidRPr="0091549E" w:rsidRDefault="001E5E33" w:rsidP="00C71C87">
      <w:pPr>
        <w:spacing w:line="276" w:lineRule="auto"/>
        <w:rPr>
          <w:sz w:val="24"/>
          <w:szCs w:val="24"/>
        </w:rPr>
      </w:pPr>
    </w:p>
    <w:p w14:paraId="558104F2" w14:textId="20822ED9" w:rsidR="009B01D0" w:rsidRPr="0091549E" w:rsidRDefault="001E5E33" w:rsidP="00C71C87">
      <w:pPr>
        <w:spacing w:line="276" w:lineRule="auto"/>
        <w:rPr>
          <w:sz w:val="24"/>
          <w:szCs w:val="24"/>
        </w:rPr>
      </w:pPr>
      <w:r w:rsidRPr="0091549E">
        <w:rPr>
          <w:b/>
          <w:sz w:val="24"/>
          <w:szCs w:val="24"/>
          <w:u w:val="single"/>
        </w:rPr>
        <w:t>List other project funders (pending and committed foundations):</w:t>
      </w:r>
    </w:p>
    <w:tbl>
      <w:tblPr>
        <w:tblStyle w:val="TableGrid"/>
        <w:tblW w:w="0" w:type="auto"/>
        <w:tblLook w:val="04A0" w:firstRow="1" w:lastRow="0" w:firstColumn="1" w:lastColumn="0" w:noHBand="0" w:noVBand="1"/>
      </w:tblPr>
      <w:tblGrid>
        <w:gridCol w:w="5939"/>
        <w:gridCol w:w="1412"/>
        <w:gridCol w:w="1505"/>
      </w:tblGrid>
      <w:tr w:rsidR="00FC6798" w:rsidRPr="0091549E" w14:paraId="461DDA29" w14:textId="77777777" w:rsidTr="00C71C87">
        <w:tc>
          <w:tcPr>
            <w:tcW w:w="5939" w:type="dxa"/>
          </w:tcPr>
          <w:p w14:paraId="6E7C3C52" w14:textId="793E8FFB" w:rsidR="00CC725E" w:rsidRPr="0091549E" w:rsidRDefault="00FC6798" w:rsidP="009A6B47">
            <w:pPr>
              <w:spacing w:line="276" w:lineRule="auto"/>
              <w:rPr>
                <w:sz w:val="24"/>
                <w:szCs w:val="24"/>
              </w:rPr>
            </w:pPr>
            <w:r w:rsidRPr="0091549E">
              <w:rPr>
                <w:sz w:val="24"/>
                <w:szCs w:val="24"/>
              </w:rPr>
              <w:t>AE Leonard Family Giving Council</w:t>
            </w:r>
          </w:p>
        </w:tc>
        <w:tc>
          <w:tcPr>
            <w:tcW w:w="1412" w:type="dxa"/>
          </w:tcPr>
          <w:p w14:paraId="2F22FE04" w14:textId="70267CE7" w:rsidR="00CC725E" w:rsidRPr="0091549E" w:rsidRDefault="00FC6798" w:rsidP="009A6B47">
            <w:pPr>
              <w:spacing w:line="276" w:lineRule="auto"/>
              <w:rPr>
                <w:sz w:val="24"/>
                <w:szCs w:val="24"/>
              </w:rPr>
            </w:pPr>
            <w:r w:rsidRPr="0091549E">
              <w:rPr>
                <w:sz w:val="24"/>
                <w:szCs w:val="24"/>
              </w:rPr>
              <w:t>$30,000</w:t>
            </w:r>
          </w:p>
        </w:tc>
        <w:tc>
          <w:tcPr>
            <w:tcW w:w="1505" w:type="dxa"/>
          </w:tcPr>
          <w:p w14:paraId="6C77AC67" w14:textId="0F929957" w:rsidR="00CC725E" w:rsidRPr="0091549E" w:rsidRDefault="00FC6798" w:rsidP="009A6B47">
            <w:pPr>
              <w:spacing w:line="276" w:lineRule="auto"/>
              <w:rPr>
                <w:sz w:val="24"/>
                <w:szCs w:val="24"/>
              </w:rPr>
            </w:pPr>
            <w:r w:rsidRPr="0091549E">
              <w:rPr>
                <w:sz w:val="24"/>
                <w:szCs w:val="24"/>
              </w:rPr>
              <w:t>Pending</w:t>
            </w:r>
          </w:p>
        </w:tc>
      </w:tr>
      <w:tr w:rsidR="00FC6798" w:rsidRPr="0091549E" w14:paraId="0532741D" w14:textId="77777777" w:rsidTr="00C71C87">
        <w:tc>
          <w:tcPr>
            <w:tcW w:w="5939" w:type="dxa"/>
          </w:tcPr>
          <w:p w14:paraId="70CAEF0C" w14:textId="28427E36" w:rsidR="00CC725E" w:rsidRPr="0091549E" w:rsidRDefault="00733648" w:rsidP="009A6B47">
            <w:pPr>
              <w:spacing w:line="276" w:lineRule="auto"/>
              <w:rPr>
                <w:sz w:val="24"/>
                <w:szCs w:val="24"/>
              </w:rPr>
            </w:pPr>
            <w:r w:rsidRPr="0091549E">
              <w:rPr>
                <w:sz w:val="24"/>
                <w:szCs w:val="24"/>
              </w:rPr>
              <w:t>HEB Foundation</w:t>
            </w:r>
          </w:p>
        </w:tc>
        <w:tc>
          <w:tcPr>
            <w:tcW w:w="1412" w:type="dxa"/>
          </w:tcPr>
          <w:p w14:paraId="3441A068" w14:textId="3F0BFF98" w:rsidR="00CC725E" w:rsidRPr="0091549E" w:rsidRDefault="00733648" w:rsidP="009A6B47">
            <w:pPr>
              <w:spacing w:line="276" w:lineRule="auto"/>
              <w:rPr>
                <w:sz w:val="24"/>
                <w:szCs w:val="24"/>
              </w:rPr>
            </w:pPr>
            <w:r w:rsidRPr="0091549E">
              <w:rPr>
                <w:sz w:val="24"/>
                <w:szCs w:val="24"/>
              </w:rPr>
              <w:t>$75,000</w:t>
            </w:r>
          </w:p>
        </w:tc>
        <w:tc>
          <w:tcPr>
            <w:tcW w:w="1505" w:type="dxa"/>
          </w:tcPr>
          <w:p w14:paraId="54B37F96" w14:textId="16DFC60A" w:rsidR="00CC725E" w:rsidRPr="0091549E" w:rsidRDefault="009E099E" w:rsidP="009E099E">
            <w:pPr>
              <w:spacing w:line="276" w:lineRule="auto"/>
              <w:rPr>
                <w:sz w:val="24"/>
                <w:szCs w:val="24"/>
              </w:rPr>
            </w:pPr>
            <w:r w:rsidRPr="0091549E">
              <w:rPr>
                <w:sz w:val="24"/>
                <w:szCs w:val="24"/>
              </w:rPr>
              <w:t>Pending</w:t>
            </w:r>
          </w:p>
        </w:tc>
      </w:tr>
      <w:tr w:rsidR="00FC6798" w:rsidRPr="0091549E" w14:paraId="1CAC80F8" w14:textId="77777777" w:rsidTr="00C71C87">
        <w:tc>
          <w:tcPr>
            <w:tcW w:w="5939" w:type="dxa"/>
          </w:tcPr>
          <w:p w14:paraId="7B9D2F1C" w14:textId="16DAF243" w:rsidR="00CC725E" w:rsidRPr="0091549E" w:rsidRDefault="00FC6798" w:rsidP="009A6B47">
            <w:pPr>
              <w:spacing w:line="276" w:lineRule="auto"/>
              <w:rPr>
                <w:sz w:val="24"/>
                <w:szCs w:val="24"/>
              </w:rPr>
            </w:pPr>
            <w:proofErr w:type="spellStart"/>
            <w:r w:rsidRPr="0091549E">
              <w:rPr>
                <w:sz w:val="24"/>
                <w:szCs w:val="24"/>
              </w:rPr>
              <w:t>Kronkosky</w:t>
            </w:r>
            <w:proofErr w:type="spellEnd"/>
            <w:r w:rsidRPr="0091549E">
              <w:rPr>
                <w:sz w:val="24"/>
                <w:szCs w:val="24"/>
              </w:rPr>
              <w:t xml:space="preserve"> Foundation</w:t>
            </w:r>
          </w:p>
        </w:tc>
        <w:tc>
          <w:tcPr>
            <w:tcW w:w="1412" w:type="dxa"/>
          </w:tcPr>
          <w:p w14:paraId="58253650" w14:textId="688C9FB9" w:rsidR="00CC725E" w:rsidRPr="0091549E" w:rsidRDefault="00FC6798" w:rsidP="009A6B47">
            <w:pPr>
              <w:spacing w:line="276" w:lineRule="auto"/>
              <w:rPr>
                <w:sz w:val="24"/>
                <w:szCs w:val="24"/>
              </w:rPr>
            </w:pPr>
            <w:r w:rsidRPr="0091549E">
              <w:rPr>
                <w:sz w:val="24"/>
                <w:szCs w:val="24"/>
              </w:rPr>
              <w:t>$75,000</w:t>
            </w:r>
          </w:p>
        </w:tc>
        <w:tc>
          <w:tcPr>
            <w:tcW w:w="1505" w:type="dxa"/>
          </w:tcPr>
          <w:p w14:paraId="26A17FB1" w14:textId="75D85C90" w:rsidR="00CC725E" w:rsidRPr="0091549E" w:rsidRDefault="00FC6798" w:rsidP="009A6B47">
            <w:pPr>
              <w:spacing w:line="276" w:lineRule="auto"/>
              <w:rPr>
                <w:sz w:val="24"/>
                <w:szCs w:val="24"/>
              </w:rPr>
            </w:pPr>
            <w:r w:rsidRPr="0091549E">
              <w:rPr>
                <w:sz w:val="24"/>
                <w:szCs w:val="24"/>
              </w:rPr>
              <w:t>Pending</w:t>
            </w:r>
          </w:p>
        </w:tc>
      </w:tr>
      <w:tr w:rsidR="00FC6798" w:rsidRPr="0091549E" w14:paraId="08367564" w14:textId="77777777" w:rsidTr="00C71C87">
        <w:tc>
          <w:tcPr>
            <w:tcW w:w="5939" w:type="dxa"/>
          </w:tcPr>
          <w:p w14:paraId="20DC7181" w14:textId="0863F0C9" w:rsidR="00CC725E" w:rsidRPr="0091549E" w:rsidRDefault="00FC6798" w:rsidP="009A6B47">
            <w:pPr>
              <w:spacing w:line="276" w:lineRule="auto"/>
              <w:rPr>
                <w:sz w:val="24"/>
                <w:szCs w:val="24"/>
              </w:rPr>
            </w:pPr>
            <w:r w:rsidRPr="0091549E">
              <w:rPr>
                <w:sz w:val="24"/>
                <w:szCs w:val="24"/>
              </w:rPr>
              <w:t>United Way of San Antonio &amp; Bexar County</w:t>
            </w:r>
          </w:p>
        </w:tc>
        <w:tc>
          <w:tcPr>
            <w:tcW w:w="1412" w:type="dxa"/>
          </w:tcPr>
          <w:p w14:paraId="43FB194F" w14:textId="7B9B55DA" w:rsidR="00CC725E" w:rsidRPr="0091549E" w:rsidRDefault="00FC6798" w:rsidP="00C22F99">
            <w:pPr>
              <w:spacing w:line="276" w:lineRule="auto"/>
              <w:rPr>
                <w:sz w:val="24"/>
                <w:szCs w:val="24"/>
              </w:rPr>
            </w:pPr>
            <w:r w:rsidRPr="0091549E">
              <w:rPr>
                <w:sz w:val="24"/>
                <w:szCs w:val="24"/>
              </w:rPr>
              <w:t>$</w:t>
            </w:r>
            <w:r w:rsidR="00C22F99">
              <w:rPr>
                <w:sz w:val="24"/>
                <w:szCs w:val="24"/>
              </w:rPr>
              <w:t>230,25</w:t>
            </w:r>
            <w:r w:rsidR="00046156">
              <w:rPr>
                <w:sz w:val="24"/>
                <w:szCs w:val="24"/>
              </w:rPr>
              <w:t>0</w:t>
            </w:r>
          </w:p>
        </w:tc>
        <w:tc>
          <w:tcPr>
            <w:tcW w:w="1505" w:type="dxa"/>
          </w:tcPr>
          <w:p w14:paraId="1306D56D" w14:textId="41766B59" w:rsidR="00CC725E" w:rsidRPr="0091549E" w:rsidRDefault="00FC6798" w:rsidP="009A6B47">
            <w:pPr>
              <w:spacing w:line="276" w:lineRule="auto"/>
              <w:rPr>
                <w:sz w:val="24"/>
                <w:szCs w:val="24"/>
              </w:rPr>
            </w:pPr>
            <w:r w:rsidRPr="0091549E">
              <w:rPr>
                <w:sz w:val="24"/>
                <w:szCs w:val="24"/>
              </w:rPr>
              <w:t>Committed</w:t>
            </w:r>
          </w:p>
        </w:tc>
      </w:tr>
      <w:tr w:rsidR="00FC6798" w:rsidRPr="0091549E" w14:paraId="328A1E08" w14:textId="77777777" w:rsidTr="00C71C87">
        <w:tc>
          <w:tcPr>
            <w:tcW w:w="5939" w:type="dxa"/>
          </w:tcPr>
          <w:p w14:paraId="03FCB76D" w14:textId="5EDC7660" w:rsidR="00FC6798" w:rsidRPr="0091549E" w:rsidRDefault="00733648" w:rsidP="009A6B47">
            <w:pPr>
              <w:spacing w:line="276" w:lineRule="auto"/>
              <w:rPr>
                <w:sz w:val="24"/>
                <w:szCs w:val="24"/>
              </w:rPr>
            </w:pPr>
            <w:r w:rsidRPr="0091549E">
              <w:rPr>
                <w:sz w:val="24"/>
                <w:szCs w:val="24"/>
              </w:rPr>
              <w:t>State Grant Revenue</w:t>
            </w:r>
          </w:p>
        </w:tc>
        <w:tc>
          <w:tcPr>
            <w:tcW w:w="1412" w:type="dxa"/>
          </w:tcPr>
          <w:p w14:paraId="11158E31" w14:textId="467264EF" w:rsidR="00FC6798" w:rsidRPr="0091549E" w:rsidRDefault="00733648" w:rsidP="00046156">
            <w:pPr>
              <w:spacing w:line="276" w:lineRule="auto"/>
              <w:rPr>
                <w:sz w:val="24"/>
                <w:szCs w:val="24"/>
              </w:rPr>
            </w:pPr>
            <w:r w:rsidRPr="0091549E">
              <w:rPr>
                <w:sz w:val="24"/>
                <w:szCs w:val="24"/>
              </w:rPr>
              <w:t>$</w:t>
            </w:r>
            <w:r w:rsidR="00046156">
              <w:rPr>
                <w:sz w:val="24"/>
                <w:szCs w:val="24"/>
              </w:rPr>
              <w:t>222,000</w:t>
            </w:r>
          </w:p>
        </w:tc>
        <w:tc>
          <w:tcPr>
            <w:tcW w:w="1505" w:type="dxa"/>
          </w:tcPr>
          <w:p w14:paraId="02FCAD1F" w14:textId="2296D003" w:rsidR="00FC6798" w:rsidRPr="0091549E" w:rsidRDefault="00733648" w:rsidP="009A6B47">
            <w:pPr>
              <w:spacing w:line="276" w:lineRule="auto"/>
              <w:rPr>
                <w:sz w:val="24"/>
                <w:szCs w:val="24"/>
              </w:rPr>
            </w:pPr>
            <w:r w:rsidRPr="0091549E">
              <w:rPr>
                <w:sz w:val="24"/>
                <w:szCs w:val="24"/>
              </w:rPr>
              <w:t>Committed</w:t>
            </w:r>
          </w:p>
        </w:tc>
      </w:tr>
    </w:tbl>
    <w:p w14:paraId="78363DCB" w14:textId="77777777" w:rsidR="00CC725E" w:rsidRPr="0091549E" w:rsidRDefault="00CC725E" w:rsidP="00C71C87">
      <w:pPr>
        <w:spacing w:line="276" w:lineRule="auto"/>
        <w:rPr>
          <w:sz w:val="24"/>
          <w:szCs w:val="24"/>
        </w:rPr>
      </w:pPr>
    </w:p>
    <w:p w14:paraId="24FC5EA2" w14:textId="00C72820" w:rsidR="001E5E33" w:rsidRPr="0091549E" w:rsidRDefault="001E5E33" w:rsidP="00C71C87">
      <w:pPr>
        <w:spacing w:line="276" w:lineRule="auto"/>
        <w:rPr>
          <w:sz w:val="24"/>
          <w:szCs w:val="24"/>
          <w:u w:val="single"/>
        </w:rPr>
      </w:pPr>
      <w:r w:rsidRPr="0091549E">
        <w:rPr>
          <w:b/>
          <w:sz w:val="24"/>
          <w:szCs w:val="24"/>
          <w:u w:val="single"/>
        </w:rPr>
        <w:t>Contact information of primary and secondary person within organization:</w:t>
      </w:r>
    </w:p>
    <w:p w14:paraId="0451F776" w14:textId="77777777" w:rsidR="001E5E33" w:rsidRPr="0091549E" w:rsidRDefault="001E5E33" w:rsidP="00C71C87">
      <w:pPr>
        <w:spacing w:line="276" w:lineRule="auto"/>
        <w:rPr>
          <w:b/>
          <w:sz w:val="24"/>
          <w:szCs w:val="24"/>
          <w:u w:val="single"/>
        </w:rPr>
      </w:pPr>
    </w:p>
    <w:p w14:paraId="5181FD31" w14:textId="6E896338" w:rsidR="00502A8C" w:rsidRPr="0091549E" w:rsidRDefault="001E5E33" w:rsidP="00C71C87">
      <w:pPr>
        <w:spacing w:line="276" w:lineRule="auto"/>
        <w:rPr>
          <w:sz w:val="24"/>
          <w:szCs w:val="24"/>
        </w:rPr>
      </w:pPr>
      <w:r w:rsidRPr="0091549E">
        <w:rPr>
          <w:sz w:val="24"/>
          <w:szCs w:val="24"/>
        </w:rPr>
        <w:t xml:space="preserve">Primary Contact: </w:t>
      </w:r>
      <w:r w:rsidRPr="0091549E">
        <w:rPr>
          <w:sz w:val="24"/>
          <w:szCs w:val="24"/>
        </w:rPr>
        <w:tab/>
      </w:r>
      <w:r w:rsidR="009E099E" w:rsidRPr="0091549E">
        <w:rPr>
          <w:sz w:val="24"/>
          <w:szCs w:val="24"/>
        </w:rPr>
        <w:t>Michelle Poteet, Development Coordinator</w:t>
      </w:r>
    </w:p>
    <w:p w14:paraId="4F3EE4C0" w14:textId="77777777" w:rsidR="001E5E33" w:rsidRPr="0091549E" w:rsidRDefault="00502A8C" w:rsidP="00C71C87">
      <w:pPr>
        <w:spacing w:line="276" w:lineRule="auto"/>
        <w:ind w:left="1440" w:firstLine="720"/>
        <w:rPr>
          <w:sz w:val="24"/>
          <w:szCs w:val="24"/>
        </w:rPr>
      </w:pPr>
      <w:r w:rsidRPr="0091549E">
        <w:rPr>
          <w:sz w:val="24"/>
          <w:szCs w:val="24"/>
        </w:rPr>
        <w:t>P.O. Box 15322</w:t>
      </w:r>
      <w:r w:rsidR="001E5E33" w:rsidRPr="0091549E">
        <w:rPr>
          <w:sz w:val="24"/>
          <w:szCs w:val="24"/>
        </w:rPr>
        <w:t xml:space="preserve"> </w:t>
      </w:r>
      <w:r w:rsidRPr="0091549E">
        <w:rPr>
          <w:sz w:val="24"/>
          <w:szCs w:val="24"/>
        </w:rPr>
        <w:t>San Antonio, TX 78212</w:t>
      </w:r>
    </w:p>
    <w:p w14:paraId="32081E4B" w14:textId="6B9AD8C7" w:rsidR="00502A8C" w:rsidRPr="0091549E" w:rsidRDefault="001E5E33" w:rsidP="00C71C87">
      <w:pPr>
        <w:spacing w:line="276" w:lineRule="auto"/>
        <w:ind w:left="1440" w:firstLine="720"/>
        <w:rPr>
          <w:rStyle w:val="Hyperlink"/>
          <w:sz w:val="24"/>
          <w:szCs w:val="24"/>
        </w:rPr>
      </w:pPr>
      <w:r w:rsidRPr="0091549E">
        <w:rPr>
          <w:sz w:val="24"/>
          <w:szCs w:val="24"/>
        </w:rPr>
        <w:t xml:space="preserve">Phone: 210.227.2634 │ </w:t>
      </w:r>
      <w:hyperlink r:id="rId8" w:history="1">
        <w:r w:rsidR="009E099E" w:rsidRPr="0091549E">
          <w:rPr>
            <w:rStyle w:val="Hyperlink"/>
            <w:sz w:val="24"/>
            <w:szCs w:val="24"/>
          </w:rPr>
          <w:t>mpoteet@riserecovery.org</w:t>
        </w:r>
      </w:hyperlink>
    </w:p>
    <w:p w14:paraId="0960FD46" w14:textId="0FDA8CAB" w:rsidR="001E5E33" w:rsidRPr="0091549E" w:rsidRDefault="001E5E33" w:rsidP="00C71C87">
      <w:pPr>
        <w:spacing w:line="276" w:lineRule="auto"/>
        <w:rPr>
          <w:rStyle w:val="Hyperlink"/>
          <w:sz w:val="24"/>
          <w:szCs w:val="24"/>
          <w:u w:val="none"/>
        </w:rPr>
      </w:pPr>
      <w:r w:rsidRPr="0091549E">
        <w:rPr>
          <w:rStyle w:val="Hyperlink"/>
          <w:sz w:val="24"/>
          <w:szCs w:val="24"/>
          <w:u w:val="none"/>
        </w:rPr>
        <w:tab/>
      </w:r>
    </w:p>
    <w:p w14:paraId="4E532328" w14:textId="5317B26F" w:rsidR="001E5E33" w:rsidRPr="0091549E" w:rsidRDefault="001E5E33" w:rsidP="00C71C87">
      <w:pPr>
        <w:spacing w:line="276" w:lineRule="auto"/>
        <w:rPr>
          <w:rStyle w:val="Hyperlink"/>
          <w:color w:val="auto"/>
          <w:sz w:val="24"/>
          <w:szCs w:val="24"/>
          <w:u w:val="none"/>
        </w:rPr>
      </w:pPr>
      <w:r w:rsidRPr="0091549E">
        <w:rPr>
          <w:rStyle w:val="Hyperlink"/>
          <w:color w:val="auto"/>
          <w:sz w:val="24"/>
          <w:szCs w:val="24"/>
          <w:u w:val="none"/>
        </w:rPr>
        <w:t>Secondary Contact:</w:t>
      </w:r>
      <w:r w:rsidRPr="0091549E">
        <w:rPr>
          <w:rStyle w:val="Hyperlink"/>
          <w:color w:val="auto"/>
          <w:sz w:val="24"/>
          <w:szCs w:val="24"/>
          <w:u w:val="none"/>
        </w:rPr>
        <w:tab/>
        <w:t>Evita Morin, LMSW, Executive Director</w:t>
      </w:r>
    </w:p>
    <w:p w14:paraId="3DC73727" w14:textId="627D452A" w:rsidR="001E5E33" w:rsidRPr="0091549E" w:rsidRDefault="00C22F99" w:rsidP="00C71C87">
      <w:pPr>
        <w:spacing w:line="276" w:lineRule="auto"/>
        <w:rPr>
          <w:rStyle w:val="Hyperlink"/>
          <w:color w:val="auto"/>
          <w:sz w:val="24"/>
          <w:szCs w:val="24"/>
          <w:u w:val="none"/>
        </w:rPr>
      </w:pP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sidR="001E5E33" w:rsidRPr="0091549E">
        <w:rPr>
          <w:rStyle w:val="Hyperlink"/>
          <w:color w:val="auto"/>
          <w:sz w:val="24"/>
          <w:szCs w:val="24"/>
          <w:u w:val="none"/>
        </w:rPr>
        <w:t>P.O. Box 15322 San Antonio, TX 78212</w:t>
      </w:r>
    </w:p>
    <w:p w14:paraId="2778C936" w14:textId="176145A2" w:rsidR="001E5E33" w:rsidRPr="0091549E" w:rsidRDefault="00C22F99" w:rsidP="00C71C87">
      <w:pPr>
        <w:spacing w:line="276" w:lineRule="auto"/>
        <w:rPr>
          <w:rStyle w:val="Hyperlink"/>
          <w:sz w:val="24"/>
          <w:szCs w:val="24"/>
          <w:u w:val="none"/>
        </w:rPr>
      </w:pP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sidR="001E5E33" w:rsidRPr="0091549E">
        <w:rPr>
          <w:rStyle w:val="Hyperlink"/>
          <w:color w:val="auto"/>
          <w:sz w:val="24"/>
          <w:szCs w:val="24"/>
          <w:u w:val="none"/>
        </w:rPr>
        <w:t xml:space="preserve">Phone: 210.227.2634 │ </w:t>
      </w:r>
      <w:hyperlink r:id="rId9" w:history="1">
        <w:r w:rsidR="001E5E33" w:rsidRPr="0091549E">
          <w:rPr>
            <w:rStyle w:val="Hyperlink"/>
            <w:sz w:val="24"/>
            <w:szCs w:val="24"/>
          </w:rPr>
          <w:t>emorin@riserecovery.org</w:t>
        </w:r>
      </w:hyperlink>
    </w:p>
    <w:p w14:paraId="30A10D11" w14:textId="77777777" w:rsidR="001E5E33" w:rsidRPr="0091549E" w:rsidRDefault="001E5E33" w:rsidP="00C71C87">
      <w:pPr>
        <w:spacing w:line="276" w:lineRule="auto"/>
        <w:rPr>
          <w:sz w:val="24"/>
          <w:szCs w:val="24"/>
        </w:rPr>
      </w:pPr>
    </w:p>
    <w:sectPr w:rsidR="001E5E33" w:rsidRPr="0091549E" w:rsidSect="00C71C8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339B3" w14:textId="77777777" w:rsidR="004779A7" w:rsidRDefault="004779A7" w:rsidP="004779A7">
      <w:r>
        <w:separator/>
      </w:r>
    </w:p>
  </w:endnote>
  <w:endnote w:type="continuationSeparator" w:id="0">
    <w:p w14:paraId="707C93A2" w14:textId="77777777" w:rsidR="004779A7" w:rsidRDefault="004779A7" w:rsidP="0047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C5355" w14:textId="77777777" w:rsidR="00EB4105" w:rsidRPr="00EB4105" w:rsidRDefault="00294CD5" w:rsidP="00EB4105">
    <w:pPr>
      <w:ind w:right="-720"/>
      <w:jc w:val="center"/>
      <w:rPr>
        <w:rFonts w:asciiTheme="minorHAnsi" w:hAnsiTheme="minorHAnsi"/>
      </w:rPr>
    </w:pPr>
    <w:r w:rsidRPr="00EB4105">
      <w:rPr>
        <w:rFonts w:asciiTheme="minorHAnsi" w:hAnsiTheme="minorHAnsi"/>
        <w:color w:val="595959" w:themeColor="text1" w:themeTint="A6"/>
        <w:szCs w:val="16"/>
      </w:rPr>
      <w:t xml:space="preserve">P.O. BOX 15322 </w:t>
    </w:r>
    <w:r w:rsidRPr="00EB4105">
      <w:rPr>
        <w:rFonts w:asciiTheme="minorHAnsi" w:hAnsiTheme="minorHAnsi" w:cs="Arial"/>
        <w:color w:val="595959" w:themeColor="text1" w:themeTint="A6"/>
        <w:szCs w:val="16"/>
      </w:rPr>
      <w:t>│</w:t>
    </w:r>
    <w:r w:rsidRPr="00EB4105">
      <w:rPr>
        <w:rFonts w:asciiTheme="minorHAnsi" w:hAnsiTheme="minorHAnsi"/>
        <w:color w:val="595959" w:themeColor="text1" w:themeTint="A6"/>
        <w:szCs w:val="16"/>
      </w:rPr>
      <w:t xml:space="preserve"> SAN ANTONIO, TX 78212 </w:t>
    </w:r>
    <w:r w:rsidRPr="00EB4105">
      <w:rPr>
        <w:rFonts w:asciiTheme="minorHAnsi" w:hAnsiTheme="minorHAnsi" w:cs="Arial"/>
        <w:color w:val="595959" w:themeColor="text1" w:themeTint="A6"/>
        <w:szCs w:val="16"/>
      </w:rPr>
      <w:t>│</w:t>
    </w:r>
    <w:r w:rsidRPr="00EB4105">
      <w:rPr>
        <w:rFonts w:asciiTheme="minorHAnsi" w:hAnsiTheme="minorHAnsi"/>
        <w:color w:val="595959" w:themeColor="text1" w:themeTint="A6"/>
        <w:szCs w:val="16"/>
      </w:rPr>
      <w:t xml:space="preserve"> 210.227.2634 </w:t>
    </w:r>
    <w:r w:rsidRPr="00EB4105">
      <w:rPr>
        <w:rFonts w:asciiTheme="minorHAnsi" w:hAnsiTheme="minorHAnsi" w:cs="Arial"/>
        <w:color w:val="595959" w:themeColor="text1" w:themeTint="A6"/>
        <w:szCs w:val="16"/>
      </w:rPr>
      <w:t>│</w:t>
    </w:r>
    <w:r w:rsidRPr="00EB4105">
      <w:rPr>
        <w:rFonts w:asciiTheme="minorHAnsi" w:hAnsiTheme="minorHAnsi"/>
        <w:color w:val="595959" w:themeColor="text1" w:themeTint="A6"/>
        <w:szCs w:val="16"/>
      </w:rPr>
      <w:t xml:space="preserve"> WWW.RISERECOVERY.ORG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E15D7" w14:textId="77777777" w:rsidR="004779A7" w:rsidRDefault="004779A7" w:rsidP="004779A7">
      <w:r>
        <w:separator/>
      </w:r>
    </w:p>
  </w:footnote>
  <w:footnote w:type="continuationSeparator" w:id="0">
    <w:p w14:paraId="79334B8A" w14:textId="77777777" w:rsidR="004779A7" w:rsidRDefault="004779A7" w:rsidP="00477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456C3" w14:textId="77777777" w:rsidR="00C60352" w:rsidRDefault="00DB45A4" w:rsidP="00DB45A4">
    <w:pPr>
      <w:ind w:left="720"/>
    </w:pPr>
    <w:r>
      <w:rPr>
        <w:noProof/>
      </w:rPr>
      <mc:AlternateContent>
        <mc:Choice Requires="wps">
          <w:drawing>
            <wp:anchor distT="0" distB="0" distL="118745" distR="118745" simplePos="0" relativeHeight="251659264" behindDoc="1" locked="0" layoutInCell="1" allowOverlap="0" wp14:anchorId="4F704C25" wp14:editId="2226088D">
              <wp:simplePos x="0" y="0"/>
              <wp:positionH relativeFrom="margin">
                <wp:align>right</wp:align>
              </wp:positionH>
              <wp:positionV relativeFrom="topMargin">
                <wp:align>bottom</wp:align>
              </wp:positionV>
              <wp:extent cx="5943600" cy="269875"/>
              <wp:effectExtent l="0" t="0" r="0" b="381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027635509"/>
                            <w:dataBinding w:prefixMappings="xmlns:ns0='http://purl.org/dc/elements/1.1/' xmlns:ns1='http://schemas.openxmlformats.org/package/2006/metadata/core-properties' " w:xpath="/ns1:coreProperties[1]/ns0:title[1]" w:storeItemID="{6C3C8BC8-F283-45AE-878A-BAB7291924A1}"/>
                            <w:text/>
                          </w:sdtPr>
                          <w:sdtEndPr/>
                          <w:sdtContent>
                            <w:p w14:paraId="13B0B44E" w14:textId="15EF5676" w:rsidR="00DB45A4" w:rsidRDefault="00DB45A4" w:rsidP="00DB45A4">
                              <w:pPr>
                                <w:pStyle w:val="Header"/>
                                <w:tabs>
                                  <w:tab w:val="clear" w:pos="4680"/>
                                  <w:tab w:val="clear" w:pos="9360"/>
                                </w:tabs>
                                <w:jc w:val="center"/>
                                <w:rPr>
                                  <w:caps/>
                                  <w:color w:val="FFFFFF" w:themeColor="background1"/>
                                </w:rPr>
                              </w:pPr>
                              <w:r>
                                <w:rPr>
                                  <w:caps/>
                                  <w:color w:val="FFFFFF" w:themeColor="background1"/>
                                </w:rPr>
                                <w:t xml:space="preserve">rise recovery – 2016 letter of inquiry to </w:t>
                              </w:r>
                              <w:r w:rsidR="00AB2E90">
                                <w:rPr>
                                  <w:caps/>
                                  <w:color w:val="FFFFFF" w:themeColor="background1"/>
                                </w:rPr>
                                <w:t>THE NAJIM FAMILY FOUNDATION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left:0;text-align:left;margin-left:416.8pt;margin-top:0;width:468pt;height:21.25pt;z-index:-251657216;visibility:visible;mso-wrap-style:square;mso-width-percent:0;mso-height-percent:27;mso-wrap-distance-left:9.35pt;mso-wrap-distance-top:0;mso-wrap-distance-right:9.35pt;mso-wrap-distance-bottom:0;mso-position-horizontal:right;mso-position-horizontal-relative:margin;mso-position-vertical:bottom;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" o:allowoverlap="f" fillcolor="#5b9bd5 [3204]" stroked="f" strokeweight="1pt">
              <v:textbox style="mso-fit-shape-to-text:t">
                <w:txbxContent>
                  <w:sdt>
                    <w:sdtPr>
                      <w:rPr>
                        <w:caps/>
                        <w:color w:val="FFFFFF" w:themeColor="background1"/>
                      </w:rPr>
                      <w:alias w:val="Title"/>
                      <w:tag w:val=""/>
                      <w:id w:val="-1027635509"/>
                      <w:dataBinding w:prefixMappings="xmlns:ns0='http://purl.org/dc/elements/1.1/' xmlns:ns1='http://schemas.openxmlformats.org/package/2006/metadata/core-properties' " w:xpath="/ns1:coreProperties[1]/ns0:title[1]" w:storeItemID="{6C3C8BC8-F283-45AE-878A-BAB7291924A1}"/>
                      <w:text/>
                    </w:sdtPr>
                    <w:sdtEndPr/>
                    <w:sdtContent>
                      <w:p w14:paraId="13B0B44E" w14:textId="15EF5676" w:rsidR="00DB45A4" w:rsidRDefault="00DB45A4" w:rsidP="00DB45A4">
                        <w:pPr>
                          <w:pStyle w:val="Header"/>
                          <w:tabs>
                            <w:tab w:val="clear" w:pos="4680"/>
                            <w:tab w:val="clear" w:pos="9360"/>
                          </w:tabs>
                          <w:jc w:val="center"/>
                          <w:rPr>
                            <w:caps/>
                            <w:color w:val="FFFFFF" w:themeColor="background1"/>
                          </w:rPr>
                        </w:pPr>
                        <w:r>
                          <w:rPr>
                            <w:caps/>
                            <w:color w:val="FFFFFF" w:themeColor="background1"/>
                          </w:rPr>
                          <w:t xml:space="preserve">rise recovery – 2016 letter of inquiry to </w:t>
                        </w:r>
                        <w:r w:rsidR="00AB2E90">
                          <w:rPr>
                            <w:caps/>
                            <w:color w:val="FFFFFF" w:themeColor="background1"/>
                          </w:rPr>
                          <w:t>THE NAJIM FAMILY FOUNDATION</w:t>
                        </w:r>
                      </w:p>
                    </w:sdtContent>
                  </w:sdt>
                </w:txbxContent>
              </v:textbox>
              <w10:wrap type="square"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A7"/>
    <w:rsid w:val="0000532A"/>
    <w:rsid w:val="00046156"/>
    <w:rsid w:val="0005008F"/>
    <w:rsid w:val="00093371"/>
    <w:rsid w:val="000D0D27"/>
    <w:rsid w:val="0012183E"/>
    <w:rsid w:val="001328FD"/>
    <w:rsid w:val="0019254A"/>
    <w:rsid w:val="001B4C56"/>
    <w:rsid w:val="001D1B8E"/>
    <w:rsid w:val="001D449D"/>
    <w:rsid w:val="001E5E33"/>
    <w:rsid w:val="00276CBE"/>
    <w:rsid w:val="00294CD5"/>
    <w:rsid w:val="002D1525"/>
    <w:rsid w:val="00323343"/>
    <w:rsid w:val="00370DB1"/>
    <w:rsid w:val="003C6666"/>
    <w:rsid w:val="003E2FFF"/>
    <w:rsid w:val="004628E4"/>
    <w:rsid w:val="00470586"/>
    <w:rsid w:val="004779A7"/>
    <w:rsid w:val="00502A8C"/>
    <w:rsid w:val="00531626"/>
    <w:rsid w:val="006755FA"/>
    <w:rsid w:val="006975E6"/>
    <w:rsid w:val="00733648"/>
    <w:rsid w:val="00784281"/>
    <w:rsid w:val="00832630"/>
    <w:rsid w:val="00844668"/>
    <w:rsid w:val="008A1852"/>
    <w:rsid w:val="008A4F7D"/>
    <w:rsid w:val="00906FA7"/>
    <w:rsid w:val="0091549E"/>
    <w:rsid w:val="009A6B47"/>
    <w:rsid w:val="009B01D0"/>
    <w:rsid w:val="009E099E"/>
    <w:rsid w:val="00A0370E"/>
    <w:rsid w:val="00A30264"/>
    <w:rsid w:val="00A43582"/>
    <w:rsid w:val="00A47283"/>
    <w:rsid w:val="00A77454"/>
    <w:rsid w:val="00AB2E90"/>
    <w:rsid w:val="00AC7307"/>
    <w:rsid w:val="00AD13DB"/>
    <w:rsid w:val="00AE51A8"/>
    <w:rsid w:val="00B034F7"/>
    <w:rsid w:val="00B0791E"/>
    <w:rsid w:val="00B32FE8"/>
    <w:rsid w:val="00C12475"/>
    <w:rsid w:val="00C22F99"/>
    <w:rsid w:val="00C71C87"/>
    <w:rsid w:val="00CA6BA9"/>
    <w:rsid w:val="00CC725E"/>
    <w:rsid w:val="00D4581A"/>
    <w:rsid w:val="00D4654A"/>
    <w:rsid w:val="00D46E61"/>
    <w:rsid w:val="00D642C8"/>
    <w:rsid w:val="00D94DA4"/>
    <w:rsid w:val="00DB45A4"/>
    <w:rsid w:val="00ED239F"/>
    <w:rsid w:val="00F47012"/>
    <w:rsid w:val="00F66534"/>
    <w:rsid w:val="00F72AC2"/>
    <w:rsid w:val="00F841EC"/>
    <w:rsid w:val="00F95999"/>
    <w:rsid w:val="00FC6798"/>
    <w:rsid w:val="00FD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D8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9A7"/>
    <w:pPr>
      <w:tabs>
        <w:tab w:val="center" w:pos="4680"/>
        <w:tab w:val="right" w:pos="9360"/>
      </w:tabs>
    </w:pPr>
  </w:style>
  <w:style w:type="character" w:customStyle="1" w:styleId="HeaderChar">
    <w:name w:val="Header Char"/>
    <w:basedOn w:val="DefaultParagraphFont"/>
    <w:link w:val="Header"/>
    <w:uiPriority w:val="99"/>
    <w:rsid w:val="004779A7"/>
    <w:rPr>
      <w:rFonts w:ascii="Times New Roman" w:eastAsia="Times New Roman" w:hAnsi="Times New Roman" w:cs="Times New Roman"/>
      <w:sz w:val="20"/>
      <w:szCs w:val="20"/>
    </w:rPr>
  </w:style>
  <w:style w:type="paragraph" w:styleId="NoSpacing">
    <w:name w:val="No Spacing"/>
    <w:uiPriority w:val="1"/>
    <w:qFormat/>
    <w:rsid w:val="004779A7"/>
    <w:pPr>
      <w:spacing w:after="0" w:line="240" w:lineRule="auto"/>
    </w:pPr>
  </w:style>
  <w:style w:type="paragraph" w:styleId="Footer">
    <w:name w:val="footer"/>
    <w:basedOn w:val="Normal"/>
    <w:link w:val="FooterChar"/>
    <w:uiPriority w:val="99"/>
    <w:unhideWhenUsed/>
    <w:rsid w:val="004779A7"/>
    <w:pPr>
      <w:tabs>
        <w:tab w:val="center" w:pos="4680"/>
        <w:tab w:val="right" w:pos="9360"/>
      </w:tabs>
    </w:pPr>
  </w:style>
  <w:style w:type="character" w:customStyle="1" w:styleId="FooterChar">
    <w:name w:val="Footer Char"/>
    <w:basedOn w:val="DefaultParagraphFont"/>
    <w:link w:val="Footer"/>
    <w:uiPriority w:val="99"/>
    <w:rsid w:val="004779A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02A8C"/>
    <w:rPr>
      <w:color w:val="0563C1" w:themeColor="hyperlink"/>
      <w:u w:val="single"/>
    </w:rPr>
  </w:style>
  <w:style w:type="paragraph" w:styleId="BalloonText">
    <w:name w:val="Balloon Text"/>
    <w:basedOn w:val="Normal"/>
    <w:link w:val="BalloonTextChar"/>
    <w:uiPriority w:val="99"/>
    <w:semiHidden/>
    <w:unhideWhenUsed/>
    <w:rsid w:val="00050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8F"/>
    <w:rPr>
      <w:rFonts w:ascii="Segoe UI" w:eastAsia="Times New Roman" w:hAnsi="Segoe UI" w:cs="Segoe UI"/>
      <w:sz w:val="18"/>
      <w:szCs w:val="18"/>
    </w:rPr>
  </w:style>
  <w:style w:type="table" w:styleId="TableGrid">
    <w:name w:val="Table Grid"/>
    <w:basedOn w:val="TableNormal"/>
    <w:uiPriority w:val="39"/>
    <w:rsid w:val="00C1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D27"/>
    <w:rPr>
      <w:sz w:val="16"/>
      <w:szCs w:val="16"/>
    </w:rPr>
  </w:style>
  <w:style w:type="paragraph" w:styleId="CommentText">
    <w:name w:val="annotation text"/>
    <w:basedOn w:val="Normal"/>
    <w:link w:val="CommentTextChar"/>
    <w:uiPriority w:val="99"/>
    <w:semiHidden/>
    <w:unhideWhenUsed/>
    <w:rsid w:val="000D0D27"/>
  </w:style>
  <w:style w:type="character" w:customStyle="1" w:styleId="CommentTextChar">
    <w:name w:val="Comment Text Char"/>
    <w:basedOn w:val="DefaultParagraphFont"/>
    <w:link w:val="CommentText"/>
    <w:uiPriority w:val="99"/>
    <w:semiHidden/>
    <w:rsid w:val="000D0D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0D27"/>
    <w:rPr>
      <w:b/>
      <w:bCs/>
    </w:rPr>
  </w:style>
  <w:style w:type="character" w:customStyle="1" w:styleId="CommentSubjectChar">
    <w:name w:val="Comment Subject Char"/>
    <w:basedOn w:val="CommentTextChar"/>
    <w:link w:val="CommentSubject"/>
    <w:uiPriority w:val="99"/>
    <w:semiHidden/>
    <w:rsid w:val="000D0D2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9A7"/>
    <w:pPr>
      <w:tabs>
        <w:tab w:val="center" w:pos="4680"/>
        <w:tab w:val="right" w:pos="9360"/>
      </w:tabs>
    </w:pPr>
  </w:style>
  <w:style w:type="character" w:customStyle="1" w:styleId="HeaderChar">
    <w:name w:val="Header Char"/>
    <w:basedOn w:val="DefaultParagraphFont"/>
    <w:link w:val="Header"/>
    <w:uiPriority w:val="99"/>
    <w:rsid w:val="004779A7"/>
    <w:rPr>
      <w:rFonts w:ascii="Times New Roman" w:eastAsia="Times New Roman" w:hAnsi="Times New Roman" w:cs="Times New Roman"/>
      <w:sz w:val="20"/>
      <w:szCs w:val="20"/>
    </w:rPr>
  </w:style>
  <w:style w:type="paragraph" w:styleId="NoSpacing">
    <w:name w:val="No Spacing"/>
    <w:uiPriority w:val="1"/>
    <w:qFormat/>
    <w:rsid w:val="004779A7"/>
    <w:pPr>
      <w:spacing w:after="0" w:line="240" w:lineRule="auto"/>
    </w:pPr>
  </w:style>
  <w:style w:type="paragraph" w:styleId="Footer">
    <w:name w:val="footer"/>
    <w:basedOn w:val="Normal"/>
    <w:link w:val="FooterChar"/>
    <w:uiPriority w:val="99"/>
    <w:unhideWhenUsed/>
    <w:rsid w:val="004779A7"/>
    <w:pPr>
      <w:tabs>
        <w:tab w:val="center" w:pos="4680"/>
        <w:tab w:val="right" w:pos="9360"/>
      </w:tabs>
    </w:pPr>
  </w:style>
  <w:style w:type="character" w:customStyle="1" w:styleId="FooterChar">
    <w:name w:val="Footer Char"/>
    <w:basedOn w:val="DefaultParagraphFont"/>
    <w:link w:val="Footer"/>
    <w:uiPriority w:val="99"/>
    <w:rsid w:val="004779A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02A8C"/>
    <w:rPr>
      <w:color w:val="0563C1" w:themeColor="hyperlink"/>
      <w:u w:val="single"/>
    </w:rPr>
  </w:style>
  <w:style w:type="paragraph" w:styleId="BalloonText">
    <w:name w:val="Balloon Text"/>
    <w:basedOn w:val="Normal"/>
    <w:link w:val="BalloonTextChar"/>
    <w:uiPriority w:val="99"/>
    <w:semiHidden/>
    <w:unhideWhenUsed/>
    <w:rsid w:val="00050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8F"/>
    <w:rPr>
      <w:rFonts w:ascii="Segoe UI" w:eastAsia="Times New Roman" w:hAnsi="Segoe UI" w:cs="Segoe UI"/>
      <w:sz w:val="18"/>
      <w:szCs w:val="18"/>
    </w:rPr>
  </w:style>
  <w:style w:type="table" w:styleId="TableGrid">
    <w:name w:val="Table Grid"/>
    <w:basedOn w:val="TableNormal"/>
    <w:uiPriority w:val="39"/>
    <w:rsid w:val="00C1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D27"/>
    <w:rPr>
      <w:sz w:val="16"/>
      <w:szCs w:val="16"/>
    </w:rPr>
  </w:style>
  <w:style w:type="paragraph" w:styleId="CommentText">
    <w:name w:val="annotation text"/>
    <w:basedOn w:val="Normal"/>
    <w:link w:val="CommentTextChar"/>
    <w:uiPriority w:val="99"/>
    <w:semiHidden/>
    <w:unhideWhenUsed/>
    <w:rsid w:val="000D0D27"/>
  </w:style>
  <w:style w:type="character" w:customStyle="1" w:styleId="CommentTextChar">
    <w:name w:val="Comment Text Char"/>
    <w:basedOn w:val="DefaultParagraphFont"/>
    <w:link w:val="CommentText"/>
    <w:uiPriority w:val="99"/>
    <w:semiHidden/>
    <w:rsid w:val="000D0D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0D27"/>
    <w:rPr>
      <w:b/>
      <w:bCs/>
    </w:rPr>
  </w:style>
  <w:style w:type="character" w:customStyle="1" w:styleId="CommentSubjectChar">
    <w:name w:val="Comment Subject Char"/>
    <w:basedOn w:val="CommentTextChar"/>
    <w:link w:val="CommentSubject"/>
    <w:uiPriority w:val="99"/>
    <w:semiHidden/>
    <w:rsid w:val="000D0D2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724">
      <w:bodyDiv w:val="1"/>
      <w:marLeft w:val="0"/>
      <w:marRight w:val="0"/>
      <w:marTop w:val="0"/>
      <w:marBottom w:val="0"/>
      <w:divBdr>
        <w:top w:val="none" w:sz="0" w:space="0" w:color="auto"/>
        <w:left w:val="none" w:sz="0" w:space="0" w:color="auto"/>
        <w:bottom w:val="none" w:sz="0" w:space="0" w:color="auto"/>
        <w:right w:val="none" w:sz="0" w:space="0" w:color="auto"/>
      </w:divBdr>
    </w:div>
    <w:div w:id="176434241">
      <w:bodyDiv w:val="1"/>
      <w:marLeft w:val="0"/>
      <w:marRight w:val="0"/>
      <w:marTop w:val="0"/>
      <w:marBottom w:val="0"/>
      <w:divBdr>
        <w:top w:val="none" w:sz="0" w:space="0" w:color="auto"/>
        <w:left w:val="none" w:sz="0" w:space="0" w:color="auto"/>
        <w:bottom w:val="none" w:sz="0" w:space="0" w:color="auto"/>
        <w:right w:val="none" w:sz="0" w:space="0" w:color="auto"/>
      </w:divBdr>
    </w:div>
    <w:div w:id="456799168">
      <w:bodyDiv w:val="1"/>
      <w:marLeft w:val="0"/>
      <w:marRight w:val="0"/>
      <w:marTop w:val="0"/>
      <w:marBottom w:val="0"/>
      <w:divBdr>
        <w:top w:val="none" w:sz="0" w:space="0" w:color="auto"/>
        <w:left w:val="none" w:sz="0" w:space="0" w:color="auto"/>
        <w:bottom w:val="none" w:sz="0" w:space="0" w:color="auto"/>
        <w:right w:val="none" w:sz="0" w:space="0" w:color="auto"/>
      </w:divBdr>
    </w:div>
    <w:div w:id="625890484">
      <w:bodyDiv w:val="1"/>
      <w:marLeft w:val="0"/>
      <w:marRight w:val="0"/>
      <w:marTop w:val="0"/>
      <w:marBottom w:val="0"/>
      <w:divBdr>
        <w:top w:val="none" w:sz="0" w:space="0" w:color="auto"/>
        <w:left w:val="none" w:sz="0" w:space="0" w:color="auto"/>
        <w:bottom w:val="none" w:sz="0" w:space="0" w:color="auto"/>
        <w:right w:val="none" w:sz="0" w:space="0" w:color="auto"/>
      </w:divBdr>
    </w:div>
    <w:div w:id="970284842">
      <w:bodyDiv w:val="1"/>
      <w:marLeft w:val="0"/>
      <w:marRight w:val="0"/>
      <w:marTop w:val="0"/>
      <w:marBottom w:val="0"/>
      <w:divBdr>
        <w:top w:val="none" w:sz="0" w:space="0" w:color="auto"/>
        <w:left w:val="none" w:sz="0" w:space="0" w:color="auto"/>
        <w:bottom w:val="none" w:sz="0" w:space="0" w:color="auto"/>
        <w:right w:val="none" w:sz="0" w:space="0" w:color="auto"/>
      </w:divBdr>
    </w:div>
    <w:div w:id="1396469984">
      <w:bodyDiv w:val="1"/>
      <w:marLeft w:val="0"/>
      <w:marRight w:val="0"/>
      <w:marTop w:val="0"/>
      <w:marBottom w:val="0"/>
      <w:divBdr>
        <w:top w:val="none" w:sz="0" w:space="0" w:color="auto"/>
        <w:left w:val="none" w:sz="0" w:space="0" w:color="auto"/>
        <w:bottom w:val="none" w:sz="0" w:space="0" w:color="auto"/>
        <w:right w:val="none" w:sz="0" w:space="0" w:color="auto"/>
      </w:divBdr>
    </w:div>
    <w:div w:id="16650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oteet@riserecover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orin@riserecov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405A-52D3-49CA-9E7B-B5B07E01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rise recovery – 2016 letter of inquiry to THE NAJIM FAMILY FOUNDATION</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recovery – 2016 letter of inquiry to THE NAJIM FAMILY FOUNDATION</dc:title>
  <dc:creator>Elisa Carr</dc:creator>
  <cp:lastModifiedBy>Windows User</cp:lastModifiedBy>
  <cp:revision>7</cp:revision>
  <cp:lastPrinted>2017-08-14T21:31:00Z</cp:lastPrinted>
  <dcterms:created xsi:type="dcterms:W3CDTF">2017-08-09T21:04:00Z</dcterms:created>
  <dcterms:modified xsi:type="dcterms:W3CDTF">2017-08-14T22:00:00Z</dcterms:modified>
</cp:coreProperties>
</file>